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35DB0" w14:textId="77777777" w:rsidR="00C36F0C" w:rsidRPr="00DE6502" w:rsidRDefault="001F3080" w:rsidP="00DC7B02">
      <w:pPr>
        <w:pStyle w:val="BodyText"/>
        <w:spacing w:before="120"/>
        <w:jc w:val="center"/>
        <w:rPr>
          <w:caps/>
        </w:rPr>
      </w:pPr>
      <w:r w:rsidRPr="00DE6502">
        <w:rPr>
          <w:caps/>
        </w:rPr>
        <w:t>INNOVATSIOONI EDENDAVATE HANGETE</w:t>
      </w:r>
      <w:r w:rsidR="00605C25" w:rsidRPr="00DE6502">
        <w:rPr>
          <w:caps/>
        </w:rPr>
        <w:t xml:space="preserve"> TOETUSMEETME</w:t>
      </w:r>
    </w:p>
    <w:p w14:paraId="60D35DB1" w14:textId="77777777" w:rsidR="00554681" w:rsidRPr="00DE6502" w:rsidRDefault="00605C25" w:rsidP="00DC7B02">
      <w:pPr>
        <w:pStyle w:val="BodyText"/>
        <w:spacing w:before="120"/>
        <w:jc w:val="center"/>
        <w:rPr>
          <w:caps/>
        </w:rPr>
      </w:pPr>
      <w:r w:rsidRPr="00DE6502">
        <w:rPr>
          <w:caps/>
        </w:rPr>
        <w:t>TAOTLUSTE</w:t>
      </w:r>
      <w:r w:rsidR="00C36F0C" w:rsidRPr="00DE6502">
        <w:rPr>
          <w:caps/>
        </w:rPr>
        <w:t xml:space="preserve"> </w:t>
      </w:r>
      <w:r w:rsidR="00B00EF1" w:rsidRPr="00DE6502">
        <w:rPr>
          <w:caps/>
        </w:rPr>
        <w:t>HINDAMISMETOODIKA</w:t>
      </w:r>
    </w:p>
    <w:p w14:paraId="60D35DB2" w14:textId="77777777" w:rsidR="008A5C53" w:rsidRPr="00DE6502" w:rsidRDefault="008A5C53" w:rsidP="00DC7B02">
      <w:pPr>
        <w:spacing w:before="120"/>
        <w:rPr>
          <w:bCs/>
          <w:lang w:eastAsia="et-EE"/>
        </w:rPr>
      </w:pPr>
    </w:p>
    <w:p w14:paraId="60D35DB3" w14:textId="77777777" w:rsidR="00E5799D" w:rsidRPr="00DE6502" w:rsidRDefault="005168E5" w:rsidP="00150053">
      <w:pPr>
        <w:numPr>
          <w:ilvl w:val="0"/>
          <w:numId w:val="1"/>
        </w:numPr>
        <w:spacing w:before="120" w:line="276" w:lineRule="auto"/>
        <w:jc w:val="both"/>
        <w:rPr>
          <w:b/>
          <w:color w:val="000000"/>
          <w:lang w:eastAsia="et-EE"/>
        </w:rPr>
      </w:pPr>
      <w:r w:rsidRPr="00DE6502">
        <w:rPr>
          <w:b/>
          <w:bCs/>
          <w:color w:val="000000"/>
          <w:lang w:eastAsia="et-EE"/>
        </w:rPr>
        <w:t>T</w:t>
      </w:r>
      <w:r w:rsidR="00B00EF1" w:rsidRPr="00DE6502">
        <w:rPr>
          <w:b/>
          <w:bCs/>
          <w:color w:val="000000"/>
          <w:lang w:eastAsia="et-EE"/>
        </w:rPr>
        <w:t>aotlus</w:t>
      </w:r>
      <w:r w:rsidRPr="00DE6502">
        <w:rPr>
          <w:b/>
          <w:bCs/>
          <w:color w:val="000000"/>
          <w:lang w:eastAsia="et-EE"/>
        </w:rPr>
        <w:t>t</w:t>
      </w:r>
      <w:r w:rsidR="00B00EF1" w:rsidRPr="00DE6502">
        <w:rPr>
          <w:b/>
          <w:bCs/>
          <w:color w:val="000000"/>
          <w:lang w:eastAsia="et-EE"/>
        </w:rPr>
        <w:t>e hindamise kord</w:t>
      </w:r>
      <w:r w:rsidR="00B00EF1" w:rsidRPr="00DE6502">
        <w:rPr>
          <w:b/>
          <w:color w:val="000000"/>
          <w:lang w:eastAsia="et-EE"/>
        </w:rPr>
        <w:t xml:space="preserve"> </w:t>
      </w:r>
    </w:p>
    <w:p w14:paraId="60D35DB4" w14:textId="7474E3B3" w:rsidR="00B16BE5" w:rsidRPr="00DE6502" w:rsidRDefault="009022A9" w:rsidP="00150053">
      <w:pPr>
        <w:numPr>
          <w:ilvl w:val="1"/>
          <w:numId w:val="1"/>
        </w:numPr>
        <w:tabs>
          <w:tab w:val="clear" w:pos="420"/>
          <w:tab w:val="num" w:pos="567"/>
        </w:tabs>
        <w:spacing w:before="120" w:line="276" w:lineRule="auto"/>
        <w:ind w:left="567" w:hanging="567"/>
        <w:jc w:val="both"/>
      </w:pPr>
      <w:r>
        <w:t xml:space="preserve"> </w:t>
      </w:r>
      <w:r w:rsidR="005C7D09" w:rsidRPr="00017F53">
        <w:rPr>
          <w:lang w:eastAsia="et-EE"/>
        </w:rPr>
        <w:t>Meetme tingimustele vastavaks tunnistatud</w:t>
      </w:r>
      <w:r w:rsidR="005C7D09">
        <w:rPr>
          <w:lang w:eastAsia="et-EE"/>
        </w:rPr>
        <w:t xml:space="preserve"> t</w:t>
      </w:r>
      <w:r w:rsidR="006F1FA1">
        <w:rPr>
          <w:lang w:eastAsia="et-EE"/>
        </w:rPr>
        <w:t>aotlusi hindavad valdkondlikud eksperdid</w:t>
      </w:r>
    </w:p>
    <w:p w14:paraId="60D35DB5" w14:textId="77777777" w:rsidR="009D3BB8" w:rsidRDefault="009D3BB8" w:rsidP="00150053">
      <w:pPr>
        <w:numPr>
          <w:ilvl w:val="1"/>
          <w:numId w:val="1"/>
        </w:numPr>
        <w:tabs>
          <w:tab w:val="clear" w:pos="420"/>
          <w:tab w:val="num" w:pos="567"/>
        </w:tabs>
        <w:spacing w:before="120" w:line="276" w:lineRule="auto"/>
        <w:ind w:left="567" w:hanging="567"/>
        <w:jc w:val="both"/>
      </w:pPr>
      <w:r w:rsidRPr="00DE6502">
        <w:t>Taotlust hinnatakse skaalal 0</w:t>
      </w:r>
      <w:r w:rsidR="007D4245" w:rsidRPr="00DE6502">
        <w:t xml:space="preserve"> </w:t>
      </w:r>
      <w:r w:rsidRPr="00DE6502">
        <w:t>–</w:t>
      </w:r>
      <w:r w:rsidR="007D4245" w:rsidRPr="00DE6502">
        <w:t xml:space="preserve"> </w:t>
      </w:r>
      <w:r w:rsidR="006801A3" w:rsidRPr="00DE6502">
        <w:t>4 hinnete intervalliga 0,25 punkti.</w:t>
      </w:r>
    </w:p>
    <w:p w14:paraId="60D35DB6" w14:textId="77777777" w:rsidR="009D3BB8" w:rsidRPr="00DE6502" w:rsidRDefault="009D3BB8" w:rsidP="00150053">
      <w:pPr>
        <w:numPr>
          <w:ilvl w:val="1"/>
          <w:numId w:val="1"/>
        </w:numPr>
        <w:tabs>
          <w:tab w:val="clear" w:pos="420"/>
          <w:tab w:val="num" w:pos="567"/>
        </w:tabs>
        <w:spacing w:before="120" w:line="276" w:lineRule="auto"/>
        <w:ind w:left="567" w:hanging="567"/>
        <w:jc w:val="both"/>
      </w:pPr>
      <w:r w:rsidRPr="00DE6502">
        <w:t>Taotluse koondhinne on kõigi hindamiskriteeriumite kaalutud keskmine hinne.</w:t>
      </w:r>
    </w:p>
    <w:p w14:paraId="60D35DB7" w14:textId="77777777" w:rsidR="009D3BB8" w:rsidRDefault="009D3BB8" w:rsidP="00150053">
      <w:pPr>
        <w:numPr>
          <w:ilvl w:val="1"/>
          <w:numId w:val="1"/>
        </w:numPr>
        <w:tabs>
          <w:tab w:val="clear" w:pos="420"/>
          <w:tab w:val="num" w:pos="567"/>
        </w:tabs>
        <w:spacing w:before="120" w:line="276" w:lineRule="auto"/>
        <w:ind w:left="567" w:hanging="567"/>
        <w:jc w:val="both"/>
      </w:pPr>
      <w:r w:rsidRPr="00DE6502">
        <w:t xml:space="preserve">Taotluse koondhinne ja hindamiskriteeriumite hinded arvutatakse täpsusega kaks (2) kohta </w:t>
      </w:r>
      <w:r w:rsidR="002B5CDD" w:rsidRPr="00DE6502">
        <w:t>pärast</w:t>
      </w:r>
      <w:r w:rsidRPr="00DE6502">
        <w:t xml:space="preserve"> koma.</w:t>
      </w:r>
    </w:p>
    <w:p w14:paraId="64410109" w14:textId="643932C7" w:rsidR="005C7D09" w:rsidRPr="00DE6502" w:rsidRDefault="00FF427C" w:rsidP="005C7D09">
      <w:pPr>
        <w:numPr>
          <w:ilvl w:val="1"/>
          <w:numId w:val="1"/>
        </w:numPr>
        <w:jc w:val="both"/>
        <w:rPr>
          <w:lang w:eastAsia="et-EE"/>
        </w:rPr>
      </w:pPr>
      <w:r>
        <w:rPr>
          <w:lang w:eastAsia="et-EE"/>
        </w:rPr>
        <w:t xml:space="preserve">   </w:t>
      </w:r>
      <w:r w:rsidR="005C7D09">
        <w:rPr>
          <w:lang w:eastAsia="et-EE"/>
        </w:rPr>
        <w:t>Iga taotlust hindab vähemalt 2 valdkondlikku eksperti.</w:t>
      </w:r>
    </w:p>
    <w:p w14:paraId="6F627C4D" w14:textId="604E1692" w:rsidR="006F1FA1" w:rsidRDefault="006F1FA1" w:rsidP="00150053">
      <w:pPr>
        <w:numPr>
          <w:ilvl w:val="1"/>
          <w:numId w:val="1"/>
        </w:numPr>
        <w:tabs>
          <w:tab w:val="clear" w:pos="420"/>
          <w:tab w:val="num" w:pos="567"/>
        </w:tabs>
        <w:spacing w:before="120" w:line="276" w:lineRule="auto"/>
        <w:ind w:left="567" w:hanging="567"/>
        <w:jc w:val="both"/>
      </w:pPr>
      <w:r>
        <w:t xml:space="preserve">Hindamise tulemusena koostab ekspert iga taotluse osas hindamisaruande ning edastab selle määratud tähtajaks </w:t>
      </w:r>
      <w:r>
        <w:rPr>
          <w:lang w:eastAsia="et-EE"/>
        </w:rPr>
        <w:t xml:space="preserve">innovaatiliste hangete programmjuhile ja hindamisraportöörile. </w:t>
      </w:r>
    </w:p>
    <w:p w14:paraId="14229C7F" w14:textId="5F9D0F0E" w:rsidR="0053681E" w:rsidRPr="00DE6502" w:rsidRDefault="005C7D09" w:rsidP="00150053">
      <w:pPr>
        <w:numPr>
          <w:ilvl w:val="1"/>
          <w:numId w:val="1"/>
        </w:numPr>
        <w:tabs>
          <w:tab w:val="clear" w:pos="420"/>
          <w:tab w:val="num" w:pos="567"/>
        </w:tabs>
        <w:spacing w:before="120" w:line="276" w:lineRule="auto"/>
        <w:ind w:left="567" w:hanging="567"/>
        <w:jc w:val="both"/>
      </w:pPr>
      <w:r>
        <w:t>Hindamisraportöör korraldab ekspertide arutelu, mille raames arutatakse läbi ekspertide erinevad seisukohad ning püütakse jõuda konsensusele.</w:t>
      </w:r>
    </w:p>
    <w:p w14:paraId="60D35DB8" w14:textId="725A5640" w:rsidR="00937B73" w:rsidRPr="00DE6502" w:rsidRDefault="006F1FA1" w:rsidP="00150053">
      <w:pPr>
        <w:numPr>
          <w:ilvl w:val="1"/>
          <w:numId w:val="1"/>
        </w:numPr>
        <w:tabs>
          <w:tab w:val="clear" w:pos="420"/>
          <w:tab w:val="num" w:pos="567"/>
        </w:tabs>
        <w:spacing w:before="120" w:line="276" w:lineRule="auto"/>
        <w:ind w:left="567" w:hanging="567"/>
        <w:jc w:val="both"/>
      </w:pPr>
      <w:r>
        <w:t>Ekspertidel</w:t>
      </w:r>
      <w:r w:rsidR="00937B73" w:rsidRPr="00DE6502">
        <w:t xml:space="preserve"> on õigus arutelu tulemusena oma hinnangut muuta ja antud hindeid korrigeerida.</w:t>
      </w:r>
      <w:r w:rsidR="00CB1318">
        <w:t xml:space="preserve"> </w:t>
      </w:r>
    </w:p>
    <w:p w14:paraId="61C739A7" w14:textId="206B7BFF" w:rsidR="003404E2" w:rsidRDefault="00CB1318" w:rsidP="00240CC3">
      <w:pPr>
        <w:numPr>
          <w:ilvl w:val="1"/>
          <w:numId w:val="1"/>
        </w:numPr>
        <w:tabs>
          <w:tab w:val="clear" w:pos="420"/>
          <w:tab w:val="num" w:pos="567"/>
        </w:tabs>
        <w:spacing w:before="120" w:line="276" w:lineRule="auto"/>
        <w:ind w:left="567" w:hanging="567"/>
        <w:jc w:val="both"/>
      </w:pPr>
      <w:r>
        <w:t xml:space="preserve">Kui eksperdid saavutavad arutelu tulemusena konsensuse, koostatakse </w:t>
      </w:r>
      <w:r w:rsidR="003110E8">
        <w:rPr>
          <w:lang w:eastAsia="et-EE"/>
        </w:rPr>
        <w:t>hindamisraportööri poolt</w:t>
      </w:r>
      <w:r w:rsidR="003110E8">
        <w:t xml:space="preserve"> </w:t>
      </w:r>
      <w:r>
        <w:t>üks ühine hindamisraport</w:t>
      </w:r>
      <w:r w:rsidR="001F48E1">
        <w:t>, kuhu koondatakse ekspertide põhjendused ning</w:t>
      </w:r>
      <w:r w:rsidR="005C7D09">
        <w:t xml:space="preserve"> mille kooskõlastavad taotlust hinnanud eksperdid</w:t>
      </w:r>
      <w:r>
        <w:t xml:space="preserve">. </w:t>
      </w:r>
      <w:r w:rsidR="005C7D09">
        <w:t>Juhul, kui arutelu tulemusena konsensust ei</w:t>
      </w:r>
      <w:r w:rsidR="005C7D09" w:rsidRPr="00CB1318">
        <w:t xml:space="preserve"> </w:t>
      </w:r>
      <w:r w:rsidR="005C7D09">
        <w:t>saavutata,</w:t>
      </w:r>
      <w:r w:rsidR="005C7D09" w:rsidRPr="00DE6502">
        <w:t xml:space="preserve"> moodustub </w:t>
      </w:r>
      <w:r w:rsidR="005C7D09">
        <w:t>t</w:t>
      </w:r>
      <w:r w:rsidR="002E3C87" w:rsidRPr="00DE6502">
        <w:t xml:space="preserve">aotluste lõplik koondhinne </w:t>
      </w:r>
      <w:r w:rsidR="005C7D09">
        <w:t xml:space="preserve">ekspertide </w:t>
      </w:r>
      <w:r w:rsidR="008B2521" w:rsidRPr="00DE6502">
        <w:t xml:space="preserve">poolt antud </w:t>
      </w:r>
      <w:r w:rsidR="00C018DF" w:rsidRPr="00DE6502">
        <w:t>koondhinnete</w:t>
      </w:r>
      <w:r w:rsidR="00B413D3" w:rsidRPr="00DE6502">
        <w:t xml:space="preserve"> </w:t>
      </w:r>
      <w:r w:rsidR="005C7D09">
        <w:t>aritmeetilisest</w:t>
      </w:r>
      <w:r w:rsidR="005C7D09" w:rsidRPr="00DE6502">
        <w:t xml:space="preserve"> </w:t>
      </w:r>
      <w:r w:rsidR="008B2521" w:rsidRPr="00DE6502">
        <w:t>keskmise</w:t>
      </w:r>
      <w:r w:rsidR="006801A3" w:rsidRPr="00DE6502">
        <w:t>st</w:t>
      </w:r>
      <w:r>
        <w:t>.</w:t>
      </w:r>
      <w:r w:rsidR="003404E2">
        <w:t xml:space="preserve"> </w:t>
      </w:r>
    </w:p>
    <w:p w14:paraId="60D35DB9" w14:textId="32FB986E" w:rsidR="007806FC" w:rsidRPr="00DE6502" w:rsidRDefault="003404E2" w:rsidP="00240CC3">
      <w:pPr>
        <w:numPr>
          <w:ilvl w:val="1"/>
          <w:numId w:val="1"/>
        </w:numPr>
        <w:tabs>
          <w:tab w:val="clear" w:pos="420"/>
          <w:tab w:val="num" w:pos="567"/>
        </w:tabs>
        <w:spacing w:before="120" w:line="276" w:lineRule="auto"/>
        <w:ind w:left="567" w:hanging="567"/>
        <w:jc w:val="both"/>
      </w:pPr>
      <w:r>
        <w:t>Taotluste koondraportid esitatakse hindamiskomisjonile.</w:t>
      </w:r>
    </w:p>
    <w:p w14:paraId="4159C0DB" w14:textId="77777777" w:rsidR="006F1FA1" w:rsidRDefault="006F1FA1" w:rsidP="006F1FA1">
      <w:pPr>
        <w:numPr>
          <w:ilvl w:val="1"/>
          <w:numId w:val="1"/>
        </w:numPr>
        <w:jc w:val="both"/>
      </w:pPr>
      <w:r>
        <w:rPr>
          <w:lang w:eastAsia="et-EE"/>
        </w:rPr>
        <w:t>Hindamiskomisjon analüüsib taotlustele antud eksperthinnanguid ja kas:</w:t>
      </w:r>
    </w:p>
    <w:p w14:paraId="2B486003" w14:textId="11567ED3" w:rsidR="006F1FA1" w:rsidRDefault="006F1FA1" w:rsidP="006F1FA1">
      <w:pPr>
        <w:numPr>
          <w:ilvl w:val="2"/>
          <w:numId w:val="1"/>
        </w:numPr>
        <w:jc w:val="both"/>
      </w:pPr>
      <w:r>
        <w:t>kinnitab lihthäälteenamusega ekspertide poolt taotlusele hindamismetoodika alusel antud hinnangu</w:t>
      </w:r>
      <w:r>
        <w:rPr>
          <w:noProof/>
        </w:rPr>
        <w:t>;</w:t>
      </w:r>
    </w:p>
    <w:p w14:paraId="5509AEA6" w14:textId="640D5933" w:rsidR="006F1FA1" w:rsidRDefault="006F1FA1" w:rsidP="00FF427C">
      <w:pPr>
        <w:numPr>
          <w:ilvl w:val="2"/>
          <w:numId w:val="1"/>
        </w:numPr>
        <w:spacing w:before="120" w:line="276" w:lineRule="auto"/>
        <w:jc w:val="both"/>
      </w:pPr>
      <w:r>
        <w:t>ei kinnita lihthäälteenamusega ekspertide poolt taotlusele hindamismetoodika alusel antud hinnangut, vaid teeb põhjendatud ettepaneku valikukriteeriumite hinnete muutmiseks ja saadab koos omapoolse põhjendusega taotluse ekspertidele uuesti hindamiseks</w:t>
      </w:r>
      <w:r w:rsidR="00FF427C">
        <w:t xml:space="preserve"> või</w:t>
      </w:r>
    </w:p>
    <w:p w14:paraId="787F24E5" w14:textId="29EFBD5A" w:rsidR="00FF427C" w:rsidRDefault="00FF427C" w:rsidP="00FF427C">
      <w:pPr>
        <w:numPr>
          <w:ilvl w:val="2"/>
          <w:numId w:val="1"/>
        </w:numPr>
        <w:spacing w:before="120" w:line="276" w:lineRule="auto"/>
        <w:jc w:val="both"/>
      </w:pPr>
      <w:r>
        <w:t xml:space="preserve">hindamiskomisjoni liikmed hindavad ise taotlust vastavalt hindamismetoodikale ja sellisel juhul kujuneb taotluse koondhindeks komisjoni liikmete poolt antud </w:t>
      </w:r>
      <w:r>
        <w:rPr>
          <w:noProof/>
        </w:rPr>
        <w:t>hinnete aritmeetiline keskmine.</w:t>
      </w:r>
    </w:p>
    <w:p w14:paraId="60D35DBB" w14:textId="4E9BE395" w:rsidR="0048098C" w:rsidRPr="00DE6502" w:rsidRDefault="00FF427C" w:rsidP="00240CC3">
      <w:pPr>
        <w:numPr>
          <w:ilvl w:val="1"/>
          <w:numId w:val="1"/>
        </w:numPr>
        <w:tabs>
          <w:tab w:val="clear" w:pos="420"/>
          <w:tab w:val="num" w:pos="567"/>
        </w:tabs>
        <w:spacing w:before="120" w:line="276" w:lineRule="auto"/>
        <w:ind w:left="567" w:hanging="567"/>
        <w:jc w:val="both"/>
      </w:pPr>
      <w:bookmarkStart w:id="0" w:name="_GoBack"/>
      <w:bookmarkEnd w:id="0"/>
      <w:r>
        <w:t>L</w:t>
      </w:r>
      <w:r w:rsidRPr="00240CC3">
        <w:t>õpliku paremusjärjestuse saamiseks reastatakse taotlused saadud koondhinnete põhjal pingeritta alates suurima koondhinde saanud taotlusest.</w:t>
      </w:r>
      <w:r>
        <w:t xml:space="preserve"> Juhul kui hindamise tulemusena saavutavad taotlused võrdse tulemuse, eelistatakse projekti, millel on suurem omafinantseeringu määr. Juhul kui projektide omafinantseeringu määr on võrdne, eelistatakse projekti, millel on kõrgem käesoleva valikukriteeriumi 1 </w:t>
      </w:r>
      <w:r>
        <w:lastRenderedPageBreak/>
        <w:t>hinne.</w:t>
      </w:r>
      <w:r w:rsidR="005C7D09">
        <w:t>R</w:t>
      </w:r>
      <w:r w:rsidR="0048098C" w:rsidRPr="00DE6502">
        <w:t>ahuldamisele kuuluva</w:t>
      </w:r>
      <w:r w:rsidR="005C7D09">
        <w:t>d</w:t>
      </w:r>
      <w:r w:rsidR="0048098C" w:rsidRPr="00DE6502">
        <w:t xml:space="preserve"> taotluse</w:t>
      </w:r>
      <w:r w:rsidR="005C7D09">
        <w:t>d, mille</w:t>
      </w:r>
      <w:r w:rsidR="0048098C" w:rsidRPr="00DE6502">
        <w:t xml:space="preserve"> lõplik koondhinne </w:t>
      </w:r>
      <w:r w:rsidR="005C7D09">
        <w:t xml:space="preserve">on </w:t>
      </w:r>
      <w:r w:rsidR="0048098C" w:rsidRPr="00DE6502">
        <w:t>vähemalt 2,50 ja iga hindamiskriteeriumi hinne vähemalt 2,00</w:t>
      </w:r>
      <w:r w:rsidR="005C7D09">
        <w:t xml:space="preserve"> </w:t>
      </w:r>
      <w:r w:rsidR="005C7D09" w:rsidRPr="00454891">
        <w:t xml:space="preserve">ning taotletav summa </w:t>
      </w:r>
      <w:r w:rsidR="005C7D09">
        <w:t xml:space="preserve">ei </w:t>
      </w:r>
      <w:r w:rsidR="005C7D09" w:rsidRPr="00454891">
        <w:rPr>
          <w:noProof/>
        </w:rPr>
        <w:t>ületa taotlusvooru eelarvet</w:t>
      </w:r>
      <w:r w:rsidR="0048098C" w:rsidRPr="00DE6502">
        <w:t>.</w:t>
      </w:r>
    </w:p>
    <w:p w14:paraId="60D35DBC" w14:textId="77777777" w:rsidR="00240CC3" w:rsidRPr="00240CC3" w:rsidRDefault="0048098C" w:rsidP="00240CC3">
      <w:pPr>
        <w:numPr>
          <w:ilvl w:val="1"/>
          <w:numId w:val="1"/>
        </w:numPr>
        <w:tabs>
          <w:tab w:val="clear" w:pos="420"/>
          <w:tab w:val="num" w:pos="567"/>
        </w:tabs>
        <w:spacing w:before="120" w:line="276" w:lineRule="auto"/>
        <w:ind w:left="567" w:hanging="567"/>
        <w:jc w:val="both"/>
      </w:pPr>
      <w:r w:rsidRPr="00DE6502">
        <w:t>Rahuldamisele ei kuulu taotlused, mis on saanud lõplikuks koondhindeks vähem kui 2,50 või kui vähemalt ühe kriteeriumi hinne on väiksem kui 2,00</w:t>
      </w:r>
      <w:r w:rsidR="00240CC3">
        <w:t xml:space="preserve"> </w:t>
      </w:r>
      <w:r w:rsidR="00240CC3" w:rsidRPr="00240CC3">
        <w:t>või taotletav summa ületab taotlusvooru eelarve.</w:t>
      </w:r>
      <w:r w:rsidR="00240CC3" w:rsidRPr="001C0DD6">
        <w:t xml:space="preserve"> </w:t>
      </w:r>
      <w:r w:rsidR="00240CC3" w:rsidRPr="00240CC3">
        <w:t>Juhul kui taotletav summa ületab taotlusvooru eelarve vaba jääki, tehakse taotlejale ettepanek taotluse osaliseks rahuldamiseks.</w:t>
      </w:r>
    </w:p>
    <w:p w14:paraId="60D35DBD" w14:textId="6307D01D" w:rsidR="00E43B64" w:rsidRDefault="005C7D09" w:rsidP="00F74E91">
      <w:pPr>
        <w:numPr>
          <w:ilvl w:val="1"/>
          <w:numId w:val="1"/>
        </w:numPr>
        <w:tabs>
          <w:tab w:val="clear" w:pos="420"/>
          <w:tab w:val="num" w:pos="567"/>
        </w:tabs>
        <w:spacing w:before="120" w:line="276" w:lineRule="auto"/>
        <w:ind w:left="567" w:hanging="567"/>
        <w:jc w:val="both"/>
      </w:pPr>
      <w:r>
        <w:t>Hindamis</w:t>
      </w:r>
      <w:r w:rsidRPr="00022A49">
        <w:t xml:space="preserve">komisjoni ettepaneku alusel </w:t>
      </w:r>
      <w:r w:rsidR="0048098C" w:rsidRPr="00DE6502">
        <w:t xml:space="preserve">teeb </w:t>
      </w:r>
      <w:r w:rsidR="00240CC3">
        <w:t>EAS</w:t>
      </w:r>
      <w:r w:rsidR="00240CC3" w:rsidRPr="00DE6502">
        <w:t xml:space="preserve"> </w:t>
      </w:r>
      <w:r w:rsidR="0048098C" w:rsidRPr="00DE6502">
        <w:t>taotluse rahuldamise</w:t>
      </w:r>
      <w:r w:rsidR="00DD01C5">
        <w:t>,</w:t>
      </w:r>
      <w:r w:rsidR="0048098C" w:rsidRPr="00DE6502">
        <w:t xml:space="preserve"> rahuldamata jätmise</w:t>
      </w:r>
      <w:r w:rsidR="00DD01C5">
        <w:t xml:space="preserve"> või kõrvaltingimusega rahuldamise otsuse</w:t>
      </w:r>
      <w:r w:rsidR="0048098C" w:rsidRPr="00DE6502">
        <w:t>.</w:t>
      </w:r>
    </w:p>
    <w:p w14:paraId="4ACAE17C" w14:textId="77777777" w:rsidR="00FF427C" w:rsidRPr="00DE6502" w:rsidRDefault="00FF427C" w:rsidP="00FF427C">
      <w:pPr>
        <w:spacing w:before="120" w:line="276" w:lineRule="auto"/>
        <w:ind w:left="567"/>
        <w:jc w:val="both"/>
      </w:pPr>
    </w:p>
    <w:p w14:paraId="60D35DC0" w14:textId="5DF904E5" w:rsidR="00022A49" w:rsidRPr="00DE6502" w:rsidRDefault="006363EA" w:rsidP="00FF427C">
      <w:pPr>
        <w:spacing w:line="276" w:lineRule="auto"/>
        <w:rPr>
          <w:rFonts w:eastAsia="Calibri"/>
          <w:b/>
        </w:rPr>
      </w:pPr>
      <w:r>
        <w:rPr>
          <w:rFonts w:eastAsia="Calibri"/>
          <w:b/>
        </w:rPr>
        <w:t xml:space="preserve">2. </w:t>
      </w:r>
      <w:r w:rsidR="00022A49" w:rsidRPr="00DE6502">
        <w:rPr>
          <w:rFonts w:eastAsia="Calibri"/>
          <w:b/>
        </w:rPr>
        <w:t>HINDAMISKRITEERIUMID JA SKAALAD</w:t>
      </w:r>
    </w:p>
    <w:p w14:paraId="60D35DC1" w14:textId="77777777" w:rsidR="00022A49" w:rsidRPr="00DE6502" w:rsidRDefault="00022A49" w:rsidP="00DC7B02">
      <w:pPr>
        <w:spacing w:line="276" w:lineRule="auto"/>
        <w:rPr>
          <w:rFonts w:eastAsia="Calibri"/>
          <w:b/>
        </w:rPr>
      </w:pPr>
    </w:p>
    <w:p w14:paraId="60D35DC2" w14:textId="35F3F1F7" w:rsidR="00022A49" w:rsidRPr="00DE6502" w:rsidRDefault="00022A49" w:rsidP="00DC7B02">
      <w:pPr>
        <w:spacing w:line="276" w:lineRule="auto"/>
        <w:jc w:val="both"/>
        <w:rPr>
          <w:rFonts w:eastAsia="Calibri"/>
          <w:b/>
        </w:rPr>
      </w:pPr>
      <w:r w:rsidRPr="00DE6502">
        <w:rPr>
          <w:rFonts w:eastAsia="Calibri"/>
          <w:b/>
        </w:rPr>
        <w:t xml:space="preserve">Hindamine toimub </w:t>
      </w:r>
      <w:r w:rsidR="00E447FD" w:rsidRPr="00DE6502">
        <w:rPr>
          <w:rFonts w:eastAsia="Calibri"/>
          <w:b/>
        </w:rPr>
        <w:t xml:space="preserve">0-4 </w:t>
      </w:r>
      <w:r w:rsidRPr="00DE6502">
        <w:rPr>
          <w:rFonts w:eastAsia="Calibri"/>
          <w:b/>
        </w:rPr>
        <w:t xml:space="preserve">hindamisskaala alusel </w:t>
      </w:r>
      <w:r w:rsidR="00E447FD" w:rsidRPr="00DE6502">
        <w:rPr>
          <w:rFonts w:eastAsia="Calibri"/>
          <w:b/>
        </w:rPr>
        <w:t>järgmiselt</w:t>
      </w:r>
      <w:r w:rsidRPr="00DE6502">
        <w:rPr>
          <w:rFonts w:eastAsia="Calibri"/>
          <w:b/>
        </w:rPr>
        <w:t>:</w:t>
      </w:r>
    </w:p>
    <w:p w14:paraId="60D35DC3" w14:textId="77777777" w:rsidR="00E447FD" w:rsidRPr="00DE6502" w:rsidRDefault="00E447FD" w:rsidP="00DC7B02">
      <w:pPr>
        <w:spacing w:line="276" w:lineRule="auto"/>
        <w:jc w:val="both"/>
        <w:rPr>
          <w:rFonts w:eastAsia="Calibri"/>
        </w:rPr>
      </w:pPr>
    </w:p>
    <w:p w14:paraId="60D35DC4" w14:textId="77777777" w:rsidR="00E447FD" w:rsidRPr="00DE6502" w:rsidRDefault="00E447FD" w:rsidP="00DC7B02">
      <w:pPr>
        <w:spacing w:line="276" w:lineRule="auto"/>
        <w:jc w:val="both"/>
        <w:rPr>
          <w:rFonts w:eastAsia="Calibri"/>
        </w:rPr>
      </w:pPr>
      <w:r w:rsidRPr="00DE6502">
        <w:rPr>
          <w:rFonts w:eastAsia="Calibri"/>
          <w:b/>
        </w:rPr>
        <w:t>“Suurepärane” /4 punkti</w:t>
      </w:r>
      <w:r w:rsidRPr="00DE6502">
        <w:rPr>
          <w:rFonts w:eastAsia="Calibri"/>
        </w:rPr>
        <w:t xml:space="preserve"> – </w:t>
      </w:r>
      <w:r w:rsidR="003D5080" w:rsidRPr="00DE6502">
        <w:rPr>
          <w:rFonts w:eastAsia="Calibri"/>
        </w:rPr>
        <w:t xml:space="preserve">hindajatele </w:t>
      </w:r>
      <w:r w:rsidRPr="00DE6502">
        <w:rPr>
          <w:rFonts w:eastAsia="Calibri"/>
        </w:rPr>
        <w:t xml:space="preserve">esitatud materjalid vastavad suurepäraselt hinnatava teema nõuetele. </w:t>
      </w:r>
      <w:r w:rsidR="00DC2275" w:rsidRPr="00DE6502">
        <w:rPr>
          <w:rFonts w:eastAsia="Calibri"/>
        </w:rPr>
        <w:t>Esitatud materjal</w:t>
      </w:r>
      <w:r w:rsidR="002859C3" w:rsidRPr="00DE6502">
        <w:rPr>
          <w:rFonts w:eastAsia="Calibri"/>
        </w:rPr>
        <w:t xml:space="preserve"> on </w:t>
      </w:r>
      <w:r w:rsidR="00E660FE" w:rsidRPr="00DE6502">
        <w:rPr>
          <w:rFonts w:eastAsia="Calibri"/>
        </w:rPr>
        <w:t xml:space="preserve">ammendavalt ning </w:t>
      </w:r>
      <w:r w:rsidR="002859C3" w:rsidRPr="00DE6502">
        <w:rPr>
          <w:rFonts w:eastAsia="Calibri"/>
        </w:rPr>
        <w:t>selgelt ja arusaadavalt koostatud ega vaja täiendamist</w:t>
      </w:r>
      <w:r w:rsidR="00F359CC" w:rsidRPr="00DE6502">
        <w:rPr>
          <w:rFonts w:eastAsia="Calibri"/>
        </w:rPr>
        <w:t>.</w:t>
      </w:r>
    </w:p>
    <w:p w14:paraId="60D35DC5" w14:textId="77777777" w:rsidR="00E447FD" w:rsidRPr="00DE6502" w:rsidRDefault="00E447FD" w:rsidP="00DC7B02">
      <w:pPr>
        <w:spacing w:line="276" w:lineRule="auto"/>
        <w:jc w:val="both"/>
        <w:rPr>
          <w:rFonts w:eastAsia="Calibri"/>
        </w:rPr>
      </w:pPr>
    </w:p>
    <w:p w14:paraId="60D35DC6" w14:textId="77777777" w:rsidR="00E447FD" w:rsidRPr="00DE6502" w:rsidRDefault="00E447FD" w:rsidP="00DC7B02">
      <w:pPr>
        <w:spacing w:line="276" w:lineRule="auto"/>
        <w:jc w:val="both"/>
        <w:rPr>
          <w:rFonts w:eastAsia="Calibri"/>
        </w:rPr>
      </w:pPr>
      <w:r w:rsidRPr="00DE6502">
        <w:rPr>
          <w:rFonts w:eastAsia="Calibri"/>
        </w:rPr>
        <w:t>“</w:t>
      </w:r>
      <w:r w:rsidRPr="00DE6502">
        <w:rPr>
          <w:rFonts w:eastAsia="Calibri"/>
          <w:b/>
        </w:rPr>
        <w:t>Hea” /3 punkti</w:t>
      </w:r>
      <w:r w:rsidRPr="00DE6502">
        <w:rPr>
          <w:rFonts w:eastAsia="Calibri"/>
        </w:rPr>
        <w:t xml:space="preserve"> – </w:t>
      </w:r>
      <w:r w:rsidR="00037DF0" w:rsidRPr="00DE6502">
        <w:rPr>
          <w:rFonts w:eastAsia="Calibri"/>
        </w:rPr>
        <w:t xml:space="preserve">hindajatele </w:t>
      </w:r>
      <w:r w:rsidRPr="00DE6502">
        <w:rPr>
          <w:rFonts w:eastAsia="Calibri"/>
        </w:rPr>
        <w:t xml:space="preserve">esitatud materjalid vastavad hästi hinnatava teema nõuetele. </w:t>
      </w:r>
      <w:r w:rsidR="00DC2275" w:rsidRPr="00DE6502">
        <w:rPr>
          <w:rFonts w:eastAsia="Calibri"/>
        </w:rPr>
        <w:t>Esitatud materjal</w:t>
      </w:r>
      <w:r w:rsidR="002859C3" w:rsidRPr="00DE6502">
        <w:rPr>
          <w:rFonts w:eastAsia="Calibri"/>
        </w:rPr>
        <w:t xml:space="preserve"> on selgelt ja arusaadavalt koostatud ega kuid vajaks osaliselt täiendamist</w:t>
      </w:r>
      <w:r w:rsidR="00F359CC" w:rsidRPr="00DE6502">
        <w:rPr>
          <w:rFonts w:eastAsia="Calibri"/>
        </w:rPr>
        <w:t>.</w:t>
      </w:r>
    </w:p>
    <w:p w14:paraId="60D35DC7" w14:textId="77777777" w:rsidR="00F359CC" w:rsidRPr="00DE6502" w:rsidRDefault="00F359CC" w:rsidP="00DC7B02">
      <w:pPr>
        <w:spacing w:line="276" w:lineRule="auto"/>
        <w:jc w:val="both"/>
        <w:rPr>
          <w:rFonts w:eastAsia="Calibri"/>
        </w:rPr>
      </w:pPr>
    </w:p>
    <w:p w14:paraId="60D35DC8" w14:textId="77777777" w:rsidR="00E447FD" w:rsidRPr="00DE6502" w:rsidRDefault="00E447FD" w:rsidP="00DC7B02">
      <w:pPr>
        <w:spacing w:line="276" w:lineRule="auto"/>
        <w:jc w:val="both"/>
        <w:rPr>
          <w:rFonts w:eastAsia="Calibri"/>
        </w:rPr>
      </w:pPr>
      <w:r w:rsidRPr="00DE6502">
        <w:rPr>
          <w:rFonts w:eastAsia="Calibri"/>
        </w:rPr>
        <w:t>“</w:t>
      </w:r>
      <w:r w:rsidRPr="00DE6502">
        <w:rPr>
          <w:rFonts w:eastAsia="Calibri"/>
          <w:b/>
        </w:rPr>
        <w:t>Piisav” /2 punkti</w:t>
      </w:r>
      <w:r w:rsidRPr="00DE6502">
        <w:rPr>
          <w:rFonts w:eastAsia="Calibri"/>
        </w:rPr>
        <w:t xml:space="preserve"> – </w:t>
      </w:r>
      <w:r w:rsidR="00374264" w:rsidRPr="00DE6502">
        <w:rPr>
          <w:rFonts w:eastAsia="Calibri"/>
        </w:rPr>
        <w:t xml:space="preserve">hindajatele </w:t>
      </w:r>
      <w:r w:rsidRPr="00DE6502">
        <w:rPr>
          <w:rFonts w:eastAsia="Calibri"/>
        </w:rPr>
        <w:t xml:space="preserve">esitatud materjalide põhjal võib taotlust pidada rahuldavaks. </w:t>
      </w:r>
      <w:r w:rsidR="00DC2275" w:rsidRPr="00DE6502">
        <w:rPr>
          <w:rFonts w:eastAsia="Calibri"/>
        </w:rPr>
        <w:t>Esitatud materjal</w:t>
      </w:r>
      <w:r w:rsidR="002859C3" w:rsidRPr="00DE6502">
        <w:rPr>
          <w:rFonts w:eastAsia="Calibri"/>
        </w:rPr>
        <w:t xml:space="preserve"> on koostatud minimaalselt aktsepteeritaval tasemel</w:t>
      </w:r>
      <w:r w:rsidR="00F359CC" w:rsidRPr="00DE6502">
        <w:rPr>
          <w:rFonts w:eastAsia="Calibri"/>
        </w:rPr>
        <w:t>.</w:t>
      </w:r>
    </w:p>
    <w:p w14:paraId="60D35DC9" w14:textId="77777777" w:rsidR="00F359CC" w:rsidRPr="00DE6502" w:rsidRDefault="00F359CC" w:rsidP="00DC7B02">
      <w:pPr>
        <w:spacing w:line="276" w:lineRule="auto"/>
        <w:jc w:val="both"/>
        <w:rPr>
          <w:rFonts w:eastAsia="Calibri"/>
        </w:rPr>
      </w:pPr>
    </w:p>
    <w:p w14:paraId="60D35DCA" w14:textId="77777777" w:rsidR="00E447FD" w:rsidRPr="00DE6502" w:rsidRDefault="00E447FD" w:rsidP="00DC7B02">
      <w:pPr>
        <w:spacing w:line="276" w:lineRule="auto"/>
        <w:jc w:val="both"/>
        <w:rPr>
          <w:rFonts w:eastAsia="Calibri"/>
        </w:rPr>
      </w:pPr>
      <w:r w:rsidRPr="00DE6502">
        <w:rPr>
          <w:rFonts w:eastAsia="Calibri"/>
        </w:rPr>
        <w:t>“</w:t>
      </w:r>
      <w:r w:rsidR="0061034A" w:rsidRPr="00DE6502">
        <w:rPr>
          <w:rFonts w:eastAsia="Calibri"/>
          <w:b/>
        </w:rPr>
        <w:t>Nõrk</w:t>
      </w:r>
      <w:r w:rsidRPr="00DE6502">
        <w:rPr>
          <w:rFonts w:eastAsia="Calibri"/>
          <w:b/>
        </w:rPr>
        <w:t>” /1 punkt</w:t>
      </w:r>
      <w:r w:rsidRPr="00DE6502">
        <w:rPr>
          <w:rFonts w:eastAsia="Calibri"/>
        </w:rPr>
        <w:t xml:space="preserve"> – </w:t>
      </w:r>
      <w:r w:rsidR="005338DC" w:rsidRPr="00DE6502">
        <w:rPr>
          <w:rFonts w:eastAsia="Calibri"/>
        </w:rPr>
        <w:t xml:space="preserve">hindajatele </w:t>
      </w:r>
      <w:r w:rsidRPr="00DE6502">
        <w:rPr>
          <w:rFonts w:eastAsia="Calibri"/>
        </w:rPr>
        <w:t xml:space="preserve">esitatud materjalide põhjal võib taotlust pidada nõrgaks, kuna ei sisalda piisavalt materjali täieliku hinnangu andmiseks. </w:t>
      </w:r>
    </w:p>
    <w:p w14:paraId="60D35DCB" w14:textId="77777777" w:rsidR="00E447FD" w:rsidRPr="00DE6502" w:rsidRDefault="00E447FD" w:rsidP="00DC7B02">
      <w:pPr>
        <w:spacing w:line="276" w:lineRule="auto"/>
        <w:jc w:val="both"/>
        <w:rPr>
          <w:rFonts w:eastAsia="Calibri"/>
        </w:rPr>
      </w:pPr>
    </w:p>
    <w:p w14:paraId="60D35DCC" w14:textId="77777777" w:rsidR="00E447FD" w:rsidRPr="00DE6502" w:rsidRDefault="00E447FD" w:rsidP="00DC7B02">
      <w:pPr>
        <w:spacing w:line="276" w:lineRule="auto"/>
        <w:jc w:val="both"/>
        <w:rPr>
          <w:rFonts w:eastAsia="Calibri"/>
        </w:rPr>
      </w:pPr>
      <w:r w:rsidRPr="00DE6502">
        <w:rPr>
          <w:rFonts w:eastAsia="Calibri"/>
          <w:b/>
        </w:rPr>
        <w:t>“Ebapiisav” /0 punkti</w:t>
      </w:r>
      <w:r w:rsidRPr="00DE6502">
        <w:rPr>
          <w:rFonts w:eastAsia="Calibri"/>
        </w:rPr>
        <w:t xml:space="preserve"> – </w:t>
      </w:r>
      <w:r w:rsidR="00D713E8" w:rsidRPr="00DE6502">
        <w:rPr>
          <w:rFonts w:eastAsia="Calibri"/>
        </w:rPr>
        <w:t xml:space="preserve">hindajatele </w:t>
      </w:r>
      <w:r w:rsidRPr="00DE6502">
        <w:rPr>
          <w:rFonts w:eastAsia="Calibri"/>
        </w:rPr>
        <w:t xml:space="preserve">esitatud materjalide põhjal võib taotlust pidada ebapiisavaks, kuna ei anna ülevaadet taotluse sisu kohta ja info on väga puudulik. Taotlus on ebapiisav ja võib uskuda, et projekti elluviimisega ei saada hakkama. </w:t>
      </w:r>
    </w:p>
    <w:p w14:paraId="60D35DCD" w14:textId="77777777" w:rsidR="00E207AC" w:rsidRPr="00DE6502" w:rsidRDefault="00E207AC" w:rsidP="00DC7B02">
      <w:pPr>
        <w:spacing w:line="276" w:lineRule="auto"/>
        <w:rPr>
          <w:rFonts w:eastAsia="Calibri"/>
        </w:rPr>
      </w:pPr>
    </w:p>
    <w:p w14:paraId="60D35DCE" w14:textId="77777777" w:rsidR="00022A49" w:rsidRPr="00DE6502" w:rsidRDefault="00022A49" w:rsidP="00DC7B02">
      <w:pPr>
        <w:spacing w:line="276" w:lineRule="auto"/>
        <w:rPr>
          <w:rFonts w:eastAsia="Calibri"/>
          <w:b/>
        </w:rPr>
      </w:pPr>
      <w:r w:rsidRPr="00DE6502">
        <w:rPr>
          <w:rFonts w:eastAsia="Calibri"/>
          <w:b/>
        </w:rPr>
        <w:t>Hindamiskriteeriumid, osakaalud ja kriteeriumi sisukirjeldus</w:t>
      </w:r>
    </w:p>
    <w:p w14:paraId="60D35DCF" w14:textId="77777777" w:rsidR="00022A49" w:rsidRPr="00DE6502" w:rsidRDefault="00022A49" w:rsidP="00DC7B02">
      <w:pPr>
        <w:spacing w:line="276" w:lineRule="auto"/>
        <w:rPr>
          <w:rFonts w:eastAsia="Calibri"/>
          <w:b/>
        </w:rPr>
      </w:pPr>
    </w:p>
    <w:tbl>
      <w:tblPr>
        <w:tblW w:w="92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7022"/>
        <w:gridCol w:w="141"/>
        <w:gridCol w:w="1277"/>
      </w:tblGrid>
      <w:tr w:rsidR="00022A49" w:rsidRPr="00DE6502" w14:paraId="60D35DD2" w14:textId="77777777" w:rsidTr="008C2A49">
        <w:trPr>
          <w:trHeight w:val="366"/>
        </w:trPr>
        <w:tc>
          <w:tcPr>
            <w:tcW w:w="7943" w:type="dxa"/>
            <w:gridSpan w:val="3"/>
            <w:shd w:val="clear" w:color="auto" w:fill="92D050"/>
          </w:tcPr>
          <w:p w14:paraId="60D35DD0" w14:textId="77777777" w:rsidR="00022A49" w:rsidRPr="00DE6502" w:rsidRDefault="00F05FD5" w:rsidP="00DC7B02">
            <w:pPr>
              <w:spacing w:line="276" w:lineRule="auto"/>
              <w:rPr>
                <w:rFonts w:eastAsia="Calibri"/>
                <w:b/>
              </w:rPr>
            </w:pPr>
            <w:r w:rsidRPr="00DE6502">
              <w:rPr>
                <w:rFonts w:eastAsia="Calibri"/>
                <w:b/>
              </w:rPr>
              <w:t xml:space="preserve">1. </w:t>
            </w:r>
            <w:r w:rsidR="00364DBD" w:rsidRPr="00DE6502">
              <w:rPr>
                <w:b/>
              </w:rPr>
              <w:t>Projekti põhjendatus ning mõju hankijale</w:t>
            </w:r>
          </w:p>
        </w:tc>
        <w:tc>
          <w:tcPr>
            <w:tcW w:w="1277" w:type="dxa"/>
            <w:shd w:val="clear" w:color="auto" w:fill="92D050"/>
          </w:tcPr>
          <w:p w14:paraId="60D35DD1" w14:textId="77777777" w:rsidR="00022A49" w:rsidRPr="00DE6502" w:rsidRDefault="00364DBD" w:rsidP="00DC7B02">
            <w:pPr>
              <w:spacing w:line="276" w:lineRule="auto"/>
              <w:rPr>
                <w:rFonts w:eastAsia="Calibri"/>
                <w:b/>
              </w:rPr>
            </w:pPr>
            <w:r w:rsidRPr="00DE6502">
              <w:rPr>
                <w:rFonts w:eastAsia="Calibri"/>
                <w:b/>
              </w:rPr>
              <w:t>4</w:t>
            </w:r>
            <w:r w:rsidR="00D15D01" w:rsidRPr="00DE6502">
              <w:rPr>
                <w:rFonts w:eastAsia="Calibri"/>
                <w:b/>
              </w:rPr>
              <w:t>0</w:t>
            </w:r>
            <w:r w:rsidR="00022A49" w:rsidRPr="00DE6502">
              <w:rPr>
                <w:rFonts w:eastAsia="Calibri"/>
                <w:b/>
              </w:rPr>
              <w:t>%</w:t>
            </w:r>
          </w:p>
        </w:tc>
      </w:tr>
      <w:tr w:rsidR="00E81093" w:rsidRPr="00DE6502" w14:paraId="60D35DD4" w14:textId="77777777" w:rsidTr="008C2A49">
        <w:trPr>
          <w:trHeight w:val="656"/>
        </w:trPr>
        <w:tc>
          <w:tcPr>
            <w:tcW w:w="9220" w:type="dxa"/>
            <w:gridSpan w:val="4"/>
            <w:shd w:val="clear" w:color="auto" w:fill="92D050"/>
          </w:tcPr>
          <w:p w14:paraId="60D35DD3" w14:textId="77777777" w:rsidR="00E81093" w:rsidRPr="00DE6502" w:rsidRDefault="004E3DB5" w:rsidP="00DC7B02">
            <w:pPr>
              <w:rPr>
                <w:b/>
                <w:bCs/>
                <w:color w:val="000000"/>
              </w:rPr>
            </w:pPr>
            <w:r w:rsidRPr="00DE6502">
              <w:rPr>
                <w:b/>
                <w:bCs/>
                <w:color w:val="000000"/>
              </w:rPr>
              <w:t xml:space="preserve">Kriteeriumi raames </w:t>
            </w:r>
            <w:r w:rsidR="00364DBD" w:rsidRPr="00DE6502">
              <w:rPr>
                <w:b/>
                <w:bCs/>
                <w:color w:val="000000"/>
              </w:rPr>
              <w:t>hinnatakse projekti panust meetme eesmärkide täitmisse ning hankija ja tema valdkonna arengusse, projekti eesmärgipüstituse põhjendatust, projekti ülesehituse loogikat, tegevuste vastavust planeeritud eesmärgile ning ajakava realistlikkust</w:t>
            </w:r>
          </w:p>
        </w:tc>
      </w:tr>
      <w:tr w:rsidR="00022A49" w:rsidRPr="00DE6502" w14:paraId="60D35DD6" w14:textId="77777777" w:rsidTr="008C2A49">
        <w:trPr>
          <w:trHeight w:val="701"/>
        </w:trPr>
        <w:tc>
          <w:tcPr>
            <w:tcW w:w="9220" w:type="dxa"/>
            <w:gridSpan w:val="4"/>
            <w:shd w:val="clear" w:color="auto" w:fill="FFFF00"/>
          </w:tcPr>
          <w:p w14:paraId="60D35DD5" w14:textId="77777777" w:rsidR="00022A49" w:rsidRPr="00DE6502" w:rsidRDefault="00364DBD" w:rsidP="00812D4C">
            <w:pPr>
              <w:pStyle w:val="ListParagraph"/>
              <w:numPr>
                <w:ilvl w:val="1"/>
                <w:numId w:val="3"/>
              </w:numPr>
              <w:spacing w:line="240" w:lineRule="auto"/>
              <w:jc w:val="both"/>
              <w:rPr>
                <w:rFonts w:ascii="Times New Roman" w:hAnsi="Times New Roman"/>
                <w:b/>
                <w:i/>
                <w:sz w:val="24"/>
                <w:szCs w:val="24"/>
              </w:rPr>
            </w:pPr>
            <w:r w:rsidRPr="00DE6502">
              <w:rPr>
                <w:rFonts w:ascii="Times New Roman" w:hAnsi="Times New Roman"/>
                <w:b/>
                <w:i/>
                <w:sz w:val="24"/>
                <w:szCs w:val="24"/>
              </w:rPr>
              <w:t>Projekti põhjendatus</w:t>
            </w:r>
            <w:r w:rsidR="00CE5698" w:rsidRPr="00DE6502">
              <w:rPr>
                <w:rFonts w:ascii="Times New Roman" w:hAnsi="Times New Roman"/>
                <w:b/>
                <w:i/>
                <w:sz w:val="24"/>
                <w:szCs w:val="24"/>
              </w:rPr>
              <w:t>,</w:t>
            </w:r>
            <w:r w:rsidR="00E81093" w:rsidRPr="00DE6502">
              <w:rPr>
                <w:rFonts w:ascii="Times New Roman" w:hAnsi="Times New Roman"/>
                <w:b/>
                <w:bCs/>
                <w:i/>
                <w:color w:val="000000"/>
                <w:sz w:val="24"/>
                <w:szCs w:val="24"/>
              </w:rPr>
              <w:t xml:space="preserve"> </w:t>
            </w:r>
            <w:r w:rsidR="00CE5698" w:rsidRPr="00DE6502">
              <w:rPr>
                <w:rFonts w:ascii="Times New Roman" w:hAnsi="Times New Roman"/>
                <w:b/>
                <w:bCs/>
                <w:i/>
                <w:color w:val="000000"/>
                <w:sz w:val="24"/>
                <w:szCs w:val="24"/>
              </w:rPr>
              <w:t xml:space="preserve">kas ja </w:t>
            </w:r>
            <w:r w:rsidRPr="00DE6502">
              <w:rPr>
                <w:rFonts w:ascii="Times New Roman" w:hAnsi="Times New Roman"/>
                <w:b/>
                <w:bCs/>
                <w:i/>
                <w:color w:val="000000"/>
                <w:sz w:val="24"/>
                <w:szCs w:val="24"/>
              </w:rPr>
              <w:t>kuivõrd põhjendatud on inno-hanke korraldamise vajadus, sh kuivõrd on selgitatud hanke aluseks olevat probleemi ning põhjendatud selle lahendamine inno-hankega</w:t>
            </w:r>
            <w:r w:rsidR="00CE5698" w:rsidRPr="00DE6502">
              <w:rPr>
                <w:rFonts w:ascii="Times New Roman" w:hAnsi="Times New Roman"/>
                <w:b/>
                <w:bCs/>
                <w:i/>
                <w:color w:val="000000"/>
                <w:sz w:val="24"/>
                <w:szCs w:val="24"/>
              </w:rPr>
              <w:t xml:space="preserve">? </w:t>
            </w:r>
            <w:r w:rsidR="00812D4C" w:rsidRPr="00DE6502">
              <w:rPr>
                <w:rFonts w:ascii="Times New Roman" w:hAnsi="Times New Roman"/>
                <w:b/>
                <w:bCs/>
                <w:i/>
                <w:color w:val="000000"/>
                <w:sz w:val="24"/>
                <w:szCs w:val="24"/>
              </w:rPr>
              <w:t xml:space="preserve">Kas hanke tulem lahendab projekti valdkonnas olulist probleemi, millel on laiem ühiskondlik mõju? Kui lahendab, siis mis ulatuses? </w:t>
            </w:r>
            <w:r w:rsidR="002464A7" w:rsidRPr="00DE6502">
              <w:rPr>
                <w:rFonts w:ascii="Times New Roman" w:hAnsi="Times New Roman"/>
                <w:b/>
                <w:bCs/>
                <w:i/>
                <w:color w:val="000000"/>
                <w:sz w:val="24"/>
                <w:szCs w:val="24"/>
              </w:rPr>
              <w:t>(</w:t>
            </w:r>
            <w:r w:rsidR="00CE5698" w:rsidRPr="00DE6502">
              <w:rPr>
                <w:rFonts w:ascii="Times New Roman" w:hAnsi="Times New Roman"/>
                <w:b/>
                <w:bCs/>
                <w:i/>
                <w:color w:val="000000"/>
                <w:sz w:val="24"/>
                <w:szCs w:val="24"/>
              </w:rPr>
              <w:t>osakaal 1</w:t>
            </w:r>
            <w:r w:rsidR="00812D4C" w:rsidRPr="00DE6502">
              <w:rPr>
                <w:rFonts w:ascii="Times New Roman" w:hAnsi="Times New Roman"/>
                <w:b/>
                <w:bCs/>
                <w:i/>
                <w:color w:val="000000"/>
                <w:sz w:val="24"/>
                <w:szCs w:val="24"/>
              </w:rPr>
              <w:t>6</w:t>
            </w:r>
            <w:r w:rsidR="00CE5698" w:rsidRPr="00DE6502">
              <w:rPr>
                <w:rFonts w:ascii="Times New Roman" w:hAnsi="Times New Roman"/>
                <w:b/>
                <w:bCs/>
                <w:i/>
                <w:color w:val="000000"/>
                <w:sz w:val="24"/>
                <w:szCs w:val="24"/>
              </w:rPr>
              <w:t>%</w:t>
            </w:r>
            <w:r w:rsidR="002464A7" w:rsidRPr="00DE6502">
              <w:rPr>
                <w:rFonts w:ascii="Times New Roman" w:hAnsi="Times New Roman"/>
                <w:b/>
                <w:bCs/>
                <w:i/>
                <w:color w:val="000000"/>
                <w:sz w:val="24"/>
                <w:szCs w:val="24"/>
              </w:rPr>
              <w:t xml:space="preserve"> kogu hindepunktide skaalast; </w:t>
            </w:r>
            <w:r w:rsidR="00812D4C" w:rsidRPr="00DE6502">
              <w:rPr>
                <w:rFonts w:ascii="Times New Roman" w:hAnsi="Times New Roman"/>
                <w:b/>
                <w:bCs/>
                <w:i/>
                <w:color w:val="000000"/>
                <w:sz w:val="24"/>
                <w:szCs w:val="24"/>
              </w:rPr>
              <w:t>40</w:t>
            </w:r>
            <w:r w:rsidR="002464A7" w:rsidRPr="00DE6502">
              <w:rPr>
                <w:rFonts w:ascii="Times New Roman" w:hAnsi="Times New Roman"/>
                <w:b/>
                <w:bCs/>
                <w:i/>
                <w:color w:val="000000"/>
                <w:sz w:val="24"/>
                <w:szCs w:val="24"/>
              </w:rPr>
              <w:t xml:space="preserve">% </w:t>
            </w:r>
            <w:r w:rsidR="009363ED" w:rsidRPr="00DE6502">
              <w:rPr>
                <w:rFonts w:ascii="Times New Roman" w:hAnsi="Times New Roman"/>
                <w:b/>
                <w:bCs/>
                <w:i/>
                <w:color w:val="000000"/>
                <w:sz w:val="24"/>
                <w:szCs w:val="24"/>
              </w:rPr>
              <w:t>1. alapunkti kogumäärast)</w:t>
            </w:r>
          </w:p>
        </w:tc>
      </w:tr>
      <w:tr w:rsidR="004E3DB5" w:rsidRPr="00DE6502" w14:paraId="60D35DDA"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DD7" w14:textId="77777777" w:rsidR="004E3DB5" w:rsidRPr="00DE6502" w:rsidRDefault="004E3DB5" w:rsidP="00DC7B02">
            <w:pPr>
              <w:jc w:val="center"/>
              <w:rPr>
                <w:color w:val="000000"/>
              </w:rPr>
            </w:pPr>
            <w:r w:rsidRPr="00DE6502">
              <w:rPr>
                <w:color w:val="000000"/>
              </w:rPr>
              <w:lastRenderedPageBreak/>
              <w:t>4</w:t>
            </w:r>
          </w:p>
        </w:tc>
        <w:tc>
          <w:tcPr>
            <w:tcW w:w="8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35DD8" w14:textId="77777777" w:rsidR="004E3DB5" w:rsidRPr="00DE6502" w:rsidRDefault="00085DC9" w:rsidP="009B4290">
            <w:pPr>
              <w:rPr>
                <w:color w:val="000000"/>
              </w:rPr>
            </w:pPr>
            <w:r w:rsidRPr="00DE6502">
              <w:rPr>
                <w:color w:val="000000"/>
              </w:rPr>
              <w:t xml:space="preserve">Projekti eesmärgipüstitus on põhjendatud </w:t>
            </w:r>
            <w:r w:rsidR="009C1F70" w:rsidRPr="00DE6502">
              <w:rPr>
                <w:color w:val="000000"/>
              </w:rPr>
              <w:t>–</w:t>
            </w:r>
            <w:r w:rsidRPr="00DE6502">
              <w:rPr>
                <w:color w:val="000000"/>
              </w:rPr>
              <w:t xml:space="preserve"> on olemas probleem, kitsaskoht või kasutamata arenguvõimalus.</w:t>
            </w:r>
            <w:r w:rsidR="00EF5CAA" w:rsidRPr="00DE6502">
              <w:rPr>
                <w:color w:val="000000"/>
              </w:rPr>
              <w:t xml:space="preserve"> </w:t>
            </w:r>
            <w:r w:rsidRPr="00DE6502">
              <w:rPr>
                <w:color w:val="000000"/>
              </w:rPr>
              <w:t xml:space="preserve">Kavandatud projekt on kooskõlas taotleja </w:t>
            </w:r>
            <w:r w:rsidR="00EF5CAA" w:rsidRPr="00DE6502">
              <w:rPr>
                <w:color w:val="000000"/>
              </w:rPr>
              <w:t>tegevusvaldkonnaga või üldisema valdkonna arengukavaga</w:t>
            </w:r>
            <w:r w:rsidRPr="00DE6502">
              <w:rPr>
                <w:color w:val="000000"/>
              </w:rPr>
              <w:t xml:space="preserve"> ning aitab selgelt kaasa selles defineeritud eesmärkide saavutamisele</w:t>
            </w:r>
            <w:r w:rsidR="0094513E" w:rsidRPr="00DE6502">
              <w:rPr>
                <w:color w:val="000000"/>
              </w:rPr>
              <w:t xml:space="preserve"> ning loob valdkonnas lisandväärtust</w:t>
            </w:r>
            <w:r w:rsidRPr="00DE6502">
              <w:rPr>
                <w:color w:val="000000"/>
              </w:rPr>
              <w:t>.</w:t>
            </w:r>
          </w:p>
          <w:p w14:paraId="60D35DD9" w14:textId="77777777" w:rsidR="00EF5CAA" w:rsidRPr="00DE6502" w:rsidRDefault="00EF5CAA" w:rsidP="002859C3">
            <w:pPr>
              <w:rPr>
                <w:color w:val="000000"/>
              </w:rPr>
            </w:pPr>
            <w:r w:rsidRPr="00DE6502">
              <w:rPr>
                <w:color w:val="000000"/>
              </w:rPr>
              <w:t xml:space="preserve">Inno-hanke korraldamise vajadus </w:t>
            </w:r>
            <w:r w:rsidR="0094513E" w:rsidRPr="00DE6502">
              <w:rPr>
                <w:color w:val="000000"/>
              </w:rPr>
              <w:t xml:space="preserve">ja asjakohasus </w:t>
            </w:r>
            <w:r w:rsidR="00DA07B6" w:rsidRPr="00DE6502">
              <w:rPr>
                <w:color w:val="000000"/>
              </w:rPr>
              <w:t>on põhjalikult kirjeldatud.</w:t>
            </w:r>
          </w:p>
        </w:tc>
      </w:tr>
      <w:tr w:rsidR="004E3DB5" w:rsidRPr="00DE6502" w14:paraId="60D35DDD"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DB" w14:textId="77777777" w:rsidR="004E3DB5" w:rsidRPr="00DE6502" w:rsidRDefault="004E3DB5"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DC" w14:textId="77777777" w:rsidR="004E3DB5" w:rsidRPr="00DE6502" w:rsidRDefault="00085DC9" w:rsidP="00DC7B02">
            <w:pPr>
              <w:jc w:val="center"/>
              <w:rPr>
                <w:color w:val="000000"/>
              </w:rPr>
            </w:pPr>
            <w:r w:rsidRPr="00DE6502">
              <w:rPr>
                <w:color w:val="000000"/>
              </w:rPr>
              <w:t>Vahepealne hinnang</w:t>
            </w:r>
          </w:p>
        </w:tc>
      </w:tr>
      <w:tr w:rsidR="004E3DB5" w:rsidRPr="00DE6502" w14:paraId="60D35DE1"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DE" w14:textId="77777777" w:rsidR="004E3DB5" w:rsidRPr="00DE6502" w:rsidRDefault="004E3DB5"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DF" w14:textId="77777777" w:rsidR="004A030A" w:rsidRPr="00DE6502" w:rsidRDefault="00085DC9" w:rsidP="009B4290">
            <w:pPr>
              <w:rPr>
                <w:color w:val="000000"/>
              </w:rPr>
            </w:pPr>
            <w:r w:rsidRPr="00DE6502">
              <w:rPr>
                <w:color w:val="000000"/>
              </w:rPr>
              <w:t xml:space="preserve">Projekti eesmärgid ei ole selgelt püstitatud. Projekti eesmärgid </w:t>
            </w:r>
            <w:r w:rsidR="004A030A" w:rsidRPr="00DE6502">
              <w:rPr>
                <w:color w:val="000000"/>
              </w:rPr>
              <w:t>ei ole põhjalikult kirjeldatud</w:t>
            </w:r>
            <w:r w:rsidRPr="00DE6502">
              <w:rPr>
                <w:color w:val="000000"/>
              </w:rPr>
              <w:t xml:space="preserve">, projekti eesmärkide saavutamine projekti lõpuks on tõenäoline. </w:t>
            </w:r>
          </w:p>
          <w:p w14:paraId="60D35DE0" w14:textId="77777777" w:rsidR="004E3DB5" w:rsidRPr="00DE6502" w:rsidRDefault="004A030A" w:rsidP="002859C3">
            <w:pPr>
              <w:rPr>
                <w:color w:val="000000"/>
              </w:rPr>
            </w:pPr>
            <w:r w:rsidRPr="00DE6502">
              <w:rPr>
                <w:color w:val="000000"/>
              </w:rPr>
              <w:t>Inno-hanke korraldamise vajadus</w:t>
            </w:r>
            <w:r w:rsidR="00B1768C" w:rsidRPr="00DE6502">
              <w:rPr>
                <w:color w:val="000000"/>
              </w:rPr>
              <w:t>t ja asjakohasust</w:t>
            </w:r>
            <w:r w:rsidR="00DA07B6" w:rsidRPr="00DE6502">
              <w:rPr>
                <w:color w:val="000000"/>
              </w:rPr>
              <w:t xml:space="preserve"> on kirjeldatud.</w:t>
            </w:r>
          </w:p>
        </w:tc>
      </w:tr>
      <w:tr w:rsidR="004E3DB5" w:rsidRPr="00DE6502" w14:paraId="60D35DE4"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E2" w14:textId="77777777" w:rsidR="004E3DB5" w:rsidRPr="00DE6502" w:rsidRDefault="004E3DB5"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E3" w14:textId="77777777" w:rsidR="004E3DB5" w:rsidRPr="00DE6502" w:rsidRDefault="00085DC9" w:rsidP="00DC7B02">
            <w:pPr>
              <w:jc w:val="center"/>
              <w:rPr>
                <w:color w:val="000000"/>
              </w:rPr>
            </w:pPr>
            <w:r w:rsidRPr="00DE6502">
              <w:rPr>
                <w:color w:val="000000"/>
              </w:rPr>
              <w:t>Vahepealne hinnang</w:t>
            </w:r>
          </w:p>
        </w:tc>
      </w:tr>
      <w:tr w:rsidR="004E3DB5" w:rsidRPr="00DE6502" w14:paraId="60D35DE8"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80" w:type="dxa"/>
            <w:tcBorders>
              <w:top w:val="nil"/>
              <w:left w:val="single" w:sz="4" w:space="0" w:color="auto"/>
              <w:bottom w:val="nil"/>
              <w:right w:val="single" w:sz="4" w:space="0" w:color="auto"/>
            </w:tcBorders>
            <w:shd w:val="clear" w:color="auto" w:fill="auto"/>
            <w:noWrap/>
            <w:vAlign w:val="bottom"/>
            <w:hideMark/>
          </w:tcPr>
          <w:p w14:paraId="60D35DE5" w14:textId="77777777" w:rsidR="004E3DB5" w:rsidRPr="00DE6502" w:rsidRDefault="004E3DB5" w:rsidP="00DC7B02">
            <w:pPr>
              <w:jc w:val="center"/>
              <w:rPr>
                <w:color w:val="000000"/>
              </w:rPr>
            </w:pPr>
            <w:r w:rsidRPr="00DE6502">
              <w:rPr>
                <w:color w:val="000000"/>
              </w:rPr>
              <w:t>0</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E6" w14:textId="77777777" w:rsidR="004A030A" w:rsidRPr="00DE6502" w:rsidRDefault="00085DC9" w:rsidP="009B4290">
            <w:pPr>
              <w:rPr>
                <w:color w:val="000000"/>
              </w:rPr>
            </w:pPr>
            <w:r w:rsidRPr="00DE6502">
              <w:rPr>
                <w:color w:val="000000"/>
              </w:rPr>
              <w:t>Projekti eesmärgid on ebarealistlikud ning nen</w:t>
            </w:r>
            <w:r w:rsidR="004A030A" w:rsidRPr="00DE6502">
              <w:rPr>
                <w:color w:val="000000"/>
              </w:rPr>
              <w:t xml:space="preserve">de saavutamine projekti lõpuks </w:t>
            </w:r>
            <w:r w:rsidRPr="00DE6502">
              <w:rPr>
                <w:color w:val="000000"/>
              </w:rPr>
              <w:t xml:space="preserve">ei ole tõenäoline. </w:t>
            </w:r>
            <w:r w:rsidR="004A030A" w:rsidRPr="00DE6502">
              <w:rPr>
                <w:color w:val="000000"/>
              </w:rPr>
              <w:t>Kavandatud projekt ei ole osaliselt või tervikuna kooskõlas taotleja tegevusvaldkonnaga või üldisema valdkonna arengukavaga ning ei aita kaasa selles defineeritud eesmärkide saavutamisele.</w:t>
            </w:r>
          </w:p>
          <w:p w14:paraId="60D35DE7" w14:textId="77777777" w:rsidR="004E3DB5" w:rsidRPr="00DE6502" w:rsidRDefault="004A030A" w:rsidP="009B4290">
            <w:pPr>
              <w:rPr>
                <w:color w:val="000000"/>
              </w:rPr>
            </w:pPr>
            <w:r w:rsidRPr="00DE6502">
              <w:rPr>
                <w:color w:val="000000"/>
              </w:rPr>
              <w:t xml:space="preserve">Inno-hanke korraldamise vajadus ei ole kirjeldatud ning taotluses ning taotlusega kaasnevates dokumentides ei ole lahti kirjutatud eeldused ning nendel põhinevad prognoosid. </w:t>
            </w:r>
            <w:r w:rsidR="00085DC9" w:rsidRPr="00DE6502">
              <w:rPr>
                <w:color w:val="000000"/>
              </w:rPr>
              <w:t xml:space="preserve">Risk, et projekti elluviimine ja tulemuslik realiseerimine satub ebapiisava ettevalmistustöö ning analüüside nõrkuse tõttu ohtu, on kõrge. </w:t>
            </w:r>
          </w:p>
        </w:tc>
      </w:tr>
      <w:tr w:rsidR="00022A49" w:rsidRPr="00DE6502" w14:paraId="60D35DEA" w14:textId="77777777" w:rsidTr="006A3C79">
        <w:trPr>
          <w:trHeight w:val="20"/>
        </w:trPr>
        <w:tc>
          <w:tcPr>
            <w:tcW w:w="9220" w:type="dxa"/>
            <w:gridSpan w:val="4"/>
            <w:shd w:val="clear" w:color="auto" w:fill="FFFF00"/>
          </w:tcPr>
          <w:p w14:paraId="60D35DE9" w14:textId="77777777" w:rsidR="00022A49" w:rsidRPr="00DE6502" w:rsidRDefault="004E3DB5" w:rsidP="00812D4C">
            <w:pPr>
              <w:tabs>
                <w:tab w:val="left" w:pos="374"/>
              </w:tabs>
              <w:spacing w:after="200" w:line="276" w:lineRule="auto"/>
              <w:contextualSpacing/>
              <w:rPr>
                <w:rFonts w:eastAsia="Calibri"/>
                <w:b/>
                <w:i/>
              </w:rPr>
            </w:pPr>
            <w:r w:rsidRPr="00DE6502">
              <w:rPr>
                <w:rFonts w:eastAsia="Calibri"/>
                <w:b/>
                <w:i/>
              </w:rPr>
              <w:t>1.2.</w:t>
            </w:r>
            <w:r w:rsidR="009829C5" w:rsidRPr="00DE6502">
              <w:rPr>
                <w:rFonts w:eastAsia="Calibri"/>
                <w:b/>
                <w:i/>
              </w:rPr>
              <w:t xml:space="preserve"> </w:t>
            </w:r>
            <w:r w:rsidR="00992EA1" w:rsidRPr="00DE6502">
              <w:rPr>
                <w:b/>
                <w:i/>
              </w:rPr>
              <w:t>Projekti vastamine meetme eesmärkidele, mis keskenduvad hankija ja tema võimekuse arendamisele.</w:t>
            </w:r>
            <w:r w:rsidR="00992EA1" w:rsidRPr="00DE6502">
              <w:rPr>
                <w:b/>
                <w:bCs/>
                <w:i/>
                <w:color w:val="000000"/>
              </w:rPr>
              <w:t xml:space="preserve"> </w:t>
            </w:r>
            <w:r w:rsidR="00EF5CAA" w:rsidRPr="00DE6502">
              <w:rPr>
                <w:b/>
                <w:i/>
              </w:rPr>
              <w:t>Kas taotluses esitatud projekti elluviimise kirjeldus (sh hankeplaan koos ettevalmistavate tegevustega, ajakava realistlikkus, tegevuste vastavus projekti eesmärgile) tagab projekti eduka elluviimise (ei hinnata meeskonda</w:t>
            </w:r>
            <w:r w:rsidR="003D6BCD" w:rsidRPr="00DE6502">
              <w:rPr>
                <w:b/>
                <w:i/>
              </w:rPr>
              <w:t>,</w:t>
            </w:r>
            <w:r w:rsidR="00EF5CAA" w:rsidRPr="00DE6502">
              <w:rPr>
                <w:b/>
                <w:i/>
              </w:rPr>
              <w:t xml:space="preserve"> vaid protsessi kirjeldust sh hanke korraldamise viisi, vajadusel etappe, hangitavaid tegevusi, hanke tugiteenuseid jne)? </w:t>
            </w:r>
            <w:r w:rsidR="009363ED" w:rsidRPr="00DE6502">
              <w:rPr>
                <w:b/>
                <w:bCs/>
                <w:i/>
                <w:color w:val="000000"/>
              </w:rPr>
              <w:t>(osakaal 1</w:t>
            </w:r>
            <w:r w:rsidR="00812D4C" w:rsidRPr="00DE6502">
              <w:rPr>
                <w:b/>
                <w:bCs/>
                <w:i/>
                <w:color w:val="000000"/>
              </w:rPr>
              <w:t>6</w:t>
            </w:r>
            <w:r w:rsidR="009363ED" w:rsidRPr="00DE6502">
              <w:rPr>
                <w:b/>
                <w:bCs/>
                <w:i/>
                <w:color w:val="000000"/>
              </w:rPr>
              <w:t>%</w:t>
            </w:r>
            <w:r w:rsidR="00812D4C" w:rsidRPr="00DE6502">
              <w:rPr>
                <w:b/>
                <w:bCs/>
                <w:i/>
                <w:color w:val="000000"/>
              </w:rPr>
              <w:t xml:space="preserve"> kogu hindepunktide skaalast; 40</w:t>
            </w:r>
            <w:r w:rsidR="009363ED" w:rsidRPr="00DE6502">
              <w:rPr>
                <w:b/>
                <w:bCs/>
                <w:i/>
                <w:color w:val="000000"/>
              </w:rPr>
              <w:t>% 1. alapunkti kogumäärast)</w:t>
            </w:r>
          </w:p>
        </w:tc>
      </w:tr>
      <w:tr w:rsidR="004E3DB5" w:rsidRPr="00DE6502" w14:paraId="60D35DED"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DEB" w14:textId="77777777" w:rsidR="004E3DB5" w:rsidRPr="00DE6502" w:rsidRDefault="004E3DB5" w:rsidP="00DC7B02">
            <w:pPr>
              <w:jc w:val="center"/>
              <w:rPr>
                <w:color w:val="000000"/>
              </w:rPr>
            </w:pPr>
          </w:p>
        </w:tc>
        <w:tc>
          <w:tcPr>
            <w:tcW w:w="8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35DEC" w14:textId="77777777" w:rsidR="004E3DB5" w:rsidRPr="00DE6502" w:rsidRDefault="006F1FAB" w:rsidP="009B4290">
            <w:pPr>
              <w:rPr>
                <w:color w:val="000000"/>
              </w:rPr>
            </w:pPr>
            <w:r w:rsidRPr="00DE6502">
              <w:rPr>
                <w:color w:val="000000"/>
              </w:rPr>
              <w:t xml:space="preserve">Projekt vastab meetme eesmärkidele. </w:t>
            </w:r>
            <w:r w:rsidR="006C1B2F" w:rsidRPr="00DE6502">
              <w:rPr>
                <w:color w:val="000000"/>
              </w:rPr>
              <w:t xml:space="preserve">Projekti elluviimise kirjeldus on koostatud nii, et see hõlmab kõiki vajalikke komponente eesmärkide saavutamiseks. Planeeritavad alamtegevused on kooskõlas projekti eesmärkidega ning sisaldavad realistlikku ja täpset ajakava. Projekti tegevuskavas on kõik tegevused asjakohased ning optimaalsed, vaheetappide mõõdikud/väljundnäidikud on määratud. Projekti tähtajaline elluviimine on </w:t>
            </w:r>
            <w:r w:rsidR="00BE38A1" w:rsidRPr="00DE6502">
              <w:rPr>
                <w:color w:val="000000"/>
              </w:rPr>
              <w:t xml:space="preserve">väga </w:t>
            </w:r>
            <w:r w:rsidR="006C1B2F" w:rsidRPr="00DE6502">
              <w:rPr>
                <w:color w:val="000000"/>
              </w:rPr>
              <w:t>tõenäoline. Projekti elluviimisega omandab toetuse saaja uusi teadmisi ja oskusi, mida ta saab kasutada tulevaste inno-hangete korraldamises.</w:t>
            </w:r>
          </w:p>
        </w:tc>
      </w:tr>
      <w:tr w:rsidR="004E3DB5" w:rsidRPr="00DE6502" w14:paraId="60D35DF0"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EE" w14:textId="77777777" w:rsidR="004E3DB5" w:rsidRPr="00DE6502" w:rsidRDefault="004E3DB5"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EF" w14:textId="77777777" w:rsidR="004E3DB5" w:rsidRPr="00DE6502" w:rsidRDefault="006C1B2F" w:rsidP="00DC7B02">
            <w:pPr>
              <w:jc w:val="center"/>
              <w:rPr>
                <w:color w:val="000000"/>
              </w:rPr>
            </w:pPr>
            <w:r w:rsidRPr="00DE6502">
              <w:rPr>
                <w:color w:val="000000"/>
              </w:rPr>
              <w:t>Vahepealne hinnang</w:t>
            </w:r>
          </w:p>
        </w:tc>
      </w:tr>
      <w:tr w:rsidR="004E3DB5" w:rsidRPr="00DE6502" w14:paraId="60D35DF3"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F1" w14:textId="77777777" w:rsidR="004E3DB5" w:rsidRPr="00DE6502" w:rsidRDefault="004E3DB5"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F2" w14:textId="77777777" w:rsidR="004E3DB5" w:rsidRPr="00DE6502" w:rsidRDefault="001E5824" w:rsidP="009B4290">
            <w:pPr>
              <w:rPr>
                <w:color w:val="000000"/>
              </w:rPr>
            </w:pPr>
            <w:r w:rsidRPr="00DE6502">
              <w:rPr>
                <w:color w:val="000000"/>
              </w:rPr>
              <w:t xml:space="preserve">Projekt vastab osaliselt meetme eesmärkidele. </w:t>
            </w:r>
            <w:r w:rsidR="006C1B2F" w:rsidRPr="00DE6502">
              <w:rPr>
                <w:color w:val="000000"/>
              </w:rPr>
              <w:t xml:space="preserve">Projekti elluviimise kirjeldus on koostatud nii, et see hõlmab </w:t>
            </w:r>
            <w:r w:rsidR="00663D50" w:rsidRPr="00DE6502">
              <w:rPr>
                <w:color w:val="000000"/>
              </w:rPr>
              <w:t>osaliselt</w:t>
            </w:r>
            <w:r w:rsidR="006C1B2F" w:rsidRPr="00DE6502">
              <w:rPr>
                <w:color w:val="000000"/>
              </w:rPr>
              <w:t xml:space="preserve"> va</w:t>
            </w:r>
            <w:r w:rsidR="00663D50" w:rsidRPr="00DE6502">
              <w:rPr>
                <w:color w:val="000000"/>
              </w:rPr>
              <w:t>ja</w:t>
            </w:r>
            <w:r w:rsidR="006C1B2F" w:rsidRPr="00DE6502">
              <w:rPr>
                <w:color w:val="000000"/>
              </w:rPr>
              <w:t xml:space="preserve">likke komponente eesmärkide saavutamiseks. Planeeritavad alamtegevused on kooskõlas projekti eesmärkidega ning sisaldavad ajakava. Projekti tegevuskavas on tegevused asjakohased ning optimaalsed, vaheetappide mõõdikud/väljundnäidikud on </w:t>
            </w:r>
            <w:r w:rsidR="00BE38A1" w:rsidRPr="00DE6502">
              <w:rPr>
                <w:color w:val="000000"/>
              </w:rPr>
              <w:t>osalis</w:t>
            </w:r>
            <w:r w:rsidR="007E0442" w:rsidRPr="00DE6502">
              <w:rPr>
                <w:color w:val="000000"/>
              </w:rPr>
              <w:t>e</w:t>
            </w:r>
            <w:r w:rsidR="00BE38A1" w:rsidRPr="00DE6502">
              <w:rPr>
                <w:color w:val="000000"/>
              </w:rPr>
              <w:t xml:space="preserve">lt </w:t>
            </w:r>
            <w:r w:rsidR="006C1B2F" w:rsidRPr="00DE6502">
              <w:rPr>
                <w:color w:val="000000"/>
              </w:rPr>
              <w:t xml:space="preserve">määratud. Projekti tähtajaline elluviimine on tõenäoline. Projekti elluviimisega </w:t>
            </w:r>
            <w:r w:rsidR="00BE38A1" w:rsidRPr="00DE6502">
              <w:rPr>
                <w:color w:val="000000"/>
              </w:rPr>
              <w:t>võib</w:t>
            </w:r>
            <w:r w:rsidR="006C1B2F" w:rsidRPr="00DE6502">
              <w:rPr>
                <w:color w:val="000000"/>
              </w:rPr>
              <w:t xml:space="preserve"> toetuse saaja </w:t>
            </w:r>
            <w:r w:rsidR="00BE38A1" w:rsidRPr="00DE6502">
              <w:rPr>
                <w:color w:val="000000"/>
              </w:rPr>
              <w:t xml:space="preserve">omandada </w:t>
            </w:r>
            <w:r w:rsidR="006C1B2F" w:rsidRPr="00DE6502">
              <w:rPr>
                <w:color w:val="000000"/>
              </w:rPr>
              <w:t>uusi teadmisi ja oskusi, mida ta saab kasutada tulevaste inno-hangete korraldamises.</w:t>
            </w:r>
          </w:p>
        </w:tc>
      </w:tr>
      <w:tr w:rsidR="004E3DB5" w:rsidRPr="00DE6502" w14:paraId="60D35DF6"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F4" w14:textId="77777777" w:rsidR="004E3DB5" w:rsidRPr="00DE6502" w:rsidRDefault="004E3DB5"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DF5" w14:textId="77777777" w:rsidR="004E3DB5" w:rsidRPr="00DE6502" w:rsidRDefault="00BE38A1" w:rsidP="00DC7B02">
            <w:pPr>
              <w:jc w:val="center"/>
              <w:rPr>
                <w:color w:val="000000"/>
              </w:rPr>
            </w:pPr>
            <w:r w:rsidRPr="00DE6502">
              <w:rPr>
                <w:color w:val="000000"/>
              </w:rPr>
              <w:t>Vahepealne hinnang</w:t>
            </w:r>
          </w:p>
        </w:tc>
      </w:tr>
      <w:tr w:rsidR="004E3DB5" w:rsidRPr="00DE6502" w14:paraId="60D35DF9"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80" w:type="dxa"/>
            <w:tcBorders>
              <w:top w:val="nil"/>
              <w:left w:val="single" w:sz="4" w:space="0" w:color="auto"/>
              <w:bottom w:val="nil"/>
              <w:right w:val="single" w:sz="4" w:space="0" w:color="auto"/>
            </w:tcBorders>
            <w:shd w:val="clear" w:color="auto" w:fill="auto"/>
            <w:noWrap/>
            <w:vAlign w:val="bottom"/>
            <w:hideMark/>
          </w:tcPr>
          <w:p w14:paraId="60D35DF7" w14:textId="77777777" w:rsidR="004E3DB5" w:rsidRPr="00DE6502" w:rsidRDefault="004E3DB5" w:rsidP="00DC7B02">
            <w:pPr>
              <w:jc w:val="center"/>
              <w:rPr>
                <w:color w:val="000000"/>
              </w:rPr>
            </w:pPr>
            <w:r w:rsidRPr="00DE6502">
              <w:rPr>
                <w:color w:val="000000"/>
              </w:rPr>
              <w:t>0</w:t>
            </w:r>
          </w:p>
        </w:tc>
        <w:tc>
          <w:tcPr>
            <w:tcW w:w="8440" w:type="dxa"/>
            <w:gridSpan w:val="3"/>
            <w:tcBorders>
              <w:top w:val="nil"/>
              <w:left w:val="nil"/>
              <w:bottom w:val="nil"/>
              <w:right w:val="single" w:sz="4" w:space="0" w:color="auto"/>
            </w:tcBorders>
            <w:shd w:val="clear" w:color="auto" w:fill="auto"/>
            <w:noWrap/>
            <w:vAlign w:val="bottom"/>
            <w:hideMark/>
          </w:tcPr>
          <w:p w14:paraId="60D35DF8" w14:textId="77777777" w:rsidR="004E3DB5" w:rsidRPr="00DE6502" w:rsidRDefault="00407BFC" w:rsidP="007E0442">
            <w:pPr>
              <w:rPr>
                <w:color w:val="000000"/>
              </w:rPr>
            </w:pPr>
            <w:r w:rsidRPr="00DE6502">
              <w:rPr>
                <w:color w:val="000000"/>
              </w:rPr>
              <w:t xml:space="preserve">Projekt ei vasta meetme eesmärkidele. </w:t>
            </w:r>
            <w:r w:rsidR="00BE38A1" w:rsidRPr="00DE6502">
              <w:rPr>
                <w:color w:val="000000"/>
              </w:rPr>
              <w:t xml:space="preserve">Projekti elluviimise kirjeldus on koostatud nii, et see hõlmab väheseid või </w:t>
            </w:r>
            <w:r w:rsidR="007E0442" w:rsidRPr="00DE6502">
              <w:rPr>
                <w:color w:val="000000"/>
              </w:rPr>
              <w:t xml:space="preserve">ei </w:t>
            </w:r>
            <w:r w:rsidR="00BE38A1" w:rsidRPr="00DE6502">
              <w:rPr>
                <w:color w:val="000000"/>
              </w:rPr>
              <w:t>hõlma üldse vajalikke komponente eesmärkide saavutamiseks. Planeeritavad alamtegevused on kirjeldamata või vähesel määral kirjeldatud ning kattuvad vähes</w:t>
            </w:r>
            <w:r w:rsidR="00463296" w:rsidRPr="00DE6502">
              <w:rPr>
                <w:color w:val="000000"/>
              </w:rPr>
              <w:t>el</w:t>
            </w:r>
            <w:r w:rsidR="00BE38A1" w:rsidRPr="00DE6502">
              <w:rPr>
                <w:color w:val="000000"/>
              </w:rPr>
              <w:t xml:space="preserve"> määral või ei kattu üldse projekti eesmärkidega ning sisaldavad väga üldist ajakava või on ajakava kirjeldamata. Projekti tegevuskavas on tegevused mitte-asjakohased ning vähe optimaalsed, vaheetappide mõõdikud/väljundnäidikud on määramata. Projekti tähtajaline elluviimine on </w:t>
            </w:r>
            <w:r w:rsidR="00BE38A1" w:rsidRPr="00DE6502">
              <w:rPr>
                <w:color w:val="000000"/>
              </w:rPr>
              <w:lastRenderedPageBreak/>
              <w:t>vähetõenäoline. Projekti elluviimisega ei omanda toetuse saaja uusi teadmisi ja oskusi, mida ta saaks kasutada tulevaste inno-hangete korraldamises.</w:t>
            </w:r>
          </w:p>
        </w:tc>
      </w:tr>
      <w:tr w:rsidR="00022A49" w:rsidRPr="00DE6502" w14:paraId="60D35DFB" w14:textId="77777777" w:rsidTr="006A3C79">
        <w:trPr>
          <w:trHeight w:val="20"/>
        </w:trPr>
        <w:tc>
          <w:tcPr>
            <w:tcW w:w="9220" w:type="dxa"/>
            <w:gridSpan w:val="4"/>
            <w:shd w:val="clear" w:color="auto" w:fill="FFFF00"/>
          </w:tcPr>
          <w:p w14:paraId="60D35DFA" w14:textId="77777777" w:rsidR="00022A49" w:rsidRPr="00DE6502" w:rsidRDefault="004E3DB5" w:rsidP="00DC7B02">
            <w:pPr>
              <w:tabs>
                <w:tab w:val="left" w:pos="374"/>
              </w:tabs>
              <w:spacing w:after="200" w:line="276" w:lineRule="auto"/>
              <w:contextualSpacing/>
              <w:rPr>
                <w:rFonts w:eastAsia="Calibri"/>
                <w:b/>
                <w:i/>
              </w:rPr>
            </w:pPr>
            <w:r w:rsidRPr="00DE6502">
              <w:rPr>
                <w:rFonts w:eastAsia="Calibri"/>
                <w:b/>
                <w:i/>
              </w:rPr>
              <w:lastRenderedPageBreak/>
              <w:t>1.3</w:t>
            </w:r>
            <w:r w:rsidR="003E4F31" w:rsidRPr="00DE6502">
              <w:rPr>
                <w:rFonts w:eastAsia="Calibri"/>
                <w:b/>
                <w:i/>
              </w:rPr>
              <w:t>.</w:t>
            </w:r>
            <w:r w:rsidRPr="00DE6502">
              <w:rPr>
                <w:rFonts w:eastAsia="Calibri"/>
                <w:b/>
                <w:i/>
              </w:rPr>
              <w:t xml:space="preserve"> </w:t>
            </w:r>
            <w:r w:rsidR="005D210F" w:rsidRPr="00DE6502">
              <w:rPr>
                <w:b/>
                <w:bCs/>
                <w:i/>
                <w:color w:val="000000"/>
              </w:rPr>
              <w:t>Kuivõrd põhjendatud on projek</w:t>
            </w:r>
            <w:r w:rsidR="00A40F1E" w:rsidRPr="00DE6502">
              <w:rPr>
                <w:b/>
                <w:bCs/>
                <w:i/>
                <w:color w:val="000000"/>
              </w:rPr>
              <w:t>ti kasutegur hankija jaoks (</w:t>
            </w:r>
            <w:r w:rsidR="005D210F" w:rsidRPr="00DE6502">
              <w:rPr>
                <w:b/>
                <w:bCs/>
                <w:i/>
                <w:color w:val="000000"/>
              </w:rPr>
              <w:t>ressursside kokkuhoid, kasutajamugavus</w:t>
            </w:r>
            <w:r w:rsidR="00A40F1E" w:rsidRPr="00DE6502">
              <w:rPr>
                <w:b/>
                <w:bCs/>
                <w:i/>
                <w:color w:val="000000"/>
              </w:rPr>
              <w:t xml:space="preserve"> vms)</w:t>
            </w:r>
            <w:r w:rsidR="009363ED" w:rsidRPr="00DE6502">
              <w:rPr>
                <w:b/>
                <w:bCs/>
                <w:i/>
                <w:color w:val="000000"/>
              </w:rPr>
              <w:t xml:space="preserve">? (osakaal </w:t>
            </w:r>
            <w:r w:rsidR="00DC7B02" w:rsidRPr="00DE6502">
              <w:rPr>
                <w:b/>
                <w:bCs/>
                <w:i/>
                <w:color w:val="000000"/>
              </w:rPr>
              <w:t>2</w:t>
            </w:r>
            <w:r w:rsidR="009363ED" w:rsidRPr="00DE6502">
              <w:rPr>
                <w:b/>
                <w:bCs/>
                <w:i/>
                <w:color w:val="000000"/>
              </w:rPr>
              <w:t>% kogu h</w:t>
            </w:r>
            <w:r w:rsidR="00DC7B02" w:rsidRPr="00DE6502">
              <w:rPr>
                <w:b/>
                <w:bCs/>
                <w:i/>
                <w:color w:val="000000"/>
              </w:rPr>
              <w:t xml:space="preserve">indepunktide skaalast; </w:t>
            </w:r>
            <w:r w:rsidR="009363ED" w:rsidRPr="00DE6502">
              <w:rPr>
                <w:b/>
                <w:bCs/>
                <w:i/>
                <w:color w:val="000000"/>
              </w:rPr>
              <w:t>5% 1. alapunkti kogumäärast)</w:t>
            </w:r>
          </w:p>
        </w:tc>
      </w:tr>
      <w:tr w:rsidR="008C2A49" w:rsidRPr="00DE6502" w14:paraId="60D35DFE" w14:textId="77777777" w:rsidTr="00C0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DFC" w14:textId="77777777" w:rsidR="008C2A49" w:rsidRPr="00DE6502" w:rsidRDefault="008C2A49" w:rsidP="00C044AF">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35DFD" w14:textId="77777777" w:rsidR="008C2A49" w:rsidRPr="00DE6502" w:rsidRDefault="008C2A49" w:rsidP="00C044AF">
            <w:pPr>
              <w:rPr>
                <w:color w:val="000000"/>
              </w:rPr>
            </w:pPr>
            <w:r w:rsidRPr="00DE6502">
              <w:rPr>
                <w:color w:val="000000"/>
              </w:rPr>
              <w:t>Projekti kasutegur on põhjalikult lahti kirjutatud, ilmneb selge ressursside kokkuhoid või muu kasutegur</w:t>
            </w:r>
            <w:r w:rsidR="00876809" w:rsidRPr="00DE6502">
              <w:rPr>
                <w:color w:val="000000"/>
              </w:rPr>
              <w:t>, mis tingib vajaduse hankida innovaatilist lahendust</w:t>
            </w:r>
            <w:r w:rsidRPr="00DE6502">
              <w:rPr>
                <w:color w:val="000000"/>
              </w:rPr>
              <w:t>. Selle tõenduseks esitatud materjal on põhjalik ning kontrollitav.</w:t>
            </w:r>
          </w:p>
        </w:tc>
      </w:tr>
      <w:tr w:rsidR="008C2A49" w:rsidRPr="00DE6502" w14:paraId="60D35E01" w14:textId="77777777" w:rsidTr="00C0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DFF" w14:textId="77777777" w:rsidR="008C2A49" w:rsidRPr="00DE6502" w:rsidRDefault="008C2A49" w:rsidP="00C044AF">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00" w14:textId="77777777" w:rsidR="008C2A49" w:rsidRPr="00DE6502" w:rsidRDefault="008C2A49" w:rsidP="00C044AF">
            <w:pPr>
              <w:jc w:val="center"/>
              <w:rPr>
                <w:color w:val="000000"/>
              </w:rPr>
            </w:pPr>
            <w:r w:rsidRPr="00DE6502">
              <w:rPr>
                <w:color w:val="000000"/>
              </w:rPr>
              <w:t>Vahepealne hinnang</w:t>
            </w:r>
          </w:p>
        </w:tc>
      </w:tr>
      <w:tr w:rsidR="008C2A49" w:rsidRPr="00DE6502" w14:paraId="60D35E04" w14:textId="77777777" w:rsidTr="00C0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02" w14:textId="77777777" w:rsidR="008C2A49" w:rsidRPr="00DE6502" w:rsidRDefault="008C2A49" w:rsidP="00C044AF">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03" w14:textId="77777777" w:rsidR="008C2A49" w:rsidRPr="00DE6502" w:rsidRDefault="008C2A49" w:rsidP="00C044AF">
            <w:pPr>
              <w:rPr>
                <w:color w:val="000000"/>
              </w:rPr>
            </w:pPr>
            <w:r w:rsidRPr="00DE6502">
              <w:rPr>
                <w:color w:val="000000"/>
              </w:rPr>
              <w:t>Projekti kasutegur on lahti kirjutatud, ilmneb ressursside kokkuhoid või muu kasutegur. Selle tõenduseks on esitatud materjalid.</w:t>
            </w:r>
          </w:p>
        </w:tc>
      </w:tr>
      <w:tr w:rsidR="008C2A49" w:rsidRPr="00DE6502" w14:paraId="60D35E07" w14:textId="77777777" w:rsidTr="00C0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05" w14:textId="77777777" w:rsidR="008C2A49" w:rsidRPr="00DE6502" w:rsidRDefault="008C2A49" w:rsidP="00C044AF">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06" w14:textId="77777777" w:rsidR="008C2A49" w:rsidRPr="00DE6502" w:rsidRDefault="008C2A49" w:rsidP="00C044AF">
            <w:pPr>
              <w:jc w:val="center"/>
              <w:rPr>
                <w:color w:val="000000"/>
              </w:rPr>
            </w:pPr>
            <w:r w:rsidRPr="00DE6502">
              <w:rPr>
                <w:color w:val="000000"/>
              </w:rPr>
              <w:t>Vahepealne hinnang</w:t>
            </w:r>
          </w:p>
        </w:tc>
      </w:tr>
      <w:tr w:rsidR="008C2A49" w:rsidRPr="00DE6502" w14:paraId="60D35E0A" w14:textId="77777777" w:rsidTr="00C04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80" w:type="dxa"/>
            <w:tcBorders>
              <w:top w:val="nil"/>
              <w:left w:val="single" w:sz="4" w:space="0" w:color="auto"/>
              <w:bottom w:val="nil"/>
              <w:right w:val="single" w:sz="4" w:space="0" w:color="auto"/>
            </w:tcBorders>
            <w:shd w:val="clear" w:color="auto" w:fill="auto"/>
            <w:noWrap/>
            <w:vAlign w:val="bottom"/>
            <w:hideMark/>
          </w:tcPr>
          <w:p w14:paraId="60D35E08" w14:textId="77777777" w:rsidR="008C2A49" w:rsidRPr="00DE6502" w:rsidRDefault="008C2A49" w:rsidP="00C044AF">
            <w:pPr>
              <w:jc w:val="center"/>
              <w:rPr>
                <w:color w:val="000000"/>
              </w:rPr>
            </w:pPr>
            <w:r w:rsidRPr="00DE6502">
              <w:rPr>
                <w:color w:val="000000"/>
              </w:rPr>
              <w:t>0</w:t>
            </w:r>
          </w:p>
        </w:tc>
        <w:tc>
          <w:tcPr>
            <w:tcW w:w="8440" w:type="dxa"/>
            <w:gridSpan w:val="3"/>
            <w:tcBorders>
              <w:top w:val="nil"/>
              <w:left w:val="nil"/>
              <w:bottom w:val="nil"/>
              <w:right w:val="single" w:sz="4" w:space="0" w:color="auto"/>
            </w:tcBorders>
            <w:shd w:val="clear" w:color="auto" w:fill="auto"/>
            <w:noWrap/>
            <w:vAlign w:val="bottom"/>
            <w:hideMark/>
          </w:tcPr>
          <w:p w14:paraId="60D35E09" w14:textId="77777777" w:rsidR="008C2A49" w:rsidRPr="00DE6502" w:rsidRDefault="008C2A49" w:rsidP="00C044AF">
            <w:pPr>
              <w:rPr>
                <w:color w:val="000000"/>
              </w:rPr>
            </w:pPr>
            <w:r w:rsidRPr="00DE6502">
              <w:rPr>
                <w:color w:val="000000"/>
              </w:rPr>
              <w:t>Projekti kasutegur on ebapiisavalt kirjeldatud või lahti kirjutamata, ressursside kokkuhoid või muu kasutegur on kirjeldatud väga üldsõnaliselt või pole üldse kirjeldatud. Tõendusmaterjalid on ebapiisavad, mittekontrollitavad või ei ole neid üldse esitatud.</w:t>
            </w:r>
          </w:p>
        </w:tc>
      </w:tr>
      <w:tr w:rsidR="003E4F31" w:rsidRPr="00DE6502" w14:paraId="60D35E0C" w14:textId="77777777" w:rsidTr="008C2A49">
        <w:trPr>
          <w:trHeight w:val="671"/>
        </w:trPr>
        <w:tc>
          <w:tcPr>
            <w:tcW w:w="9220" w:type="dxa"/>
            <w:gridSpan w:val="4"/>
            <w:shd w:val="clear" w:color="auto" w:fill="FFFF00"/>
          </w:tcPr>
          <w:p w14:paraId="60D35E0B" w14:textId="77777777" w:rsidR="003E4F31" w:rsidRPr="00DE6502" w:rsidRDefault="003E4F31" w:rsidP="00755381">
            <w:pPr>
              <w:pStyle w:val="ListParagraph"/>
              <w:spacing w:line="240" w:lineRule="auto"/>
              <w:ind w:left="0"/>
              <w:jc w:val="both"/>
              <w:rPr>
                <w:rFonts w:ascii="Times New Roman" w:hAnsi="Times New Roman"/>
                <w:i/>
                <w:sz w:val="24"/>
                <w:szCs w:val="24"/>
              </w:rPr>
            </w:pPr>
            <w:r w:rsidRPr="00DE6502">
              <w:rPr>
                <w:rFonts w:ascii="Times New Roman" w:hAnsi="Times New Roman"/>
                <w:b/>
                <w:i/>
                <w:sz w:val="24"/>
                <w:szCs w:val="24"/>
              </w:rPr>
              <w:t xml:space="preserve">1.4. </w:t>
            </w:r>
            <w:r w:rsidR="00812427" w:rsidRPr="00DE6502">
              <w:rPr>
                <w:rFonts w:ascii="Times New Roman" w:hAnsi="Times New Roman"/>
                <w:b/>
                <w:i/>
                <w:sz w:val="24"/>
                <w:szCs w:val="24"/>
              </w:rPr>
              <w:t>Jätkusuutlikkus – kas ja milliseid muudatusi on hankijal vajalik lahenduse hankimiseks ja hilisemaks juurutamiseks ellu kutsuda</w:t>
            </w:r>
            <w:r w:rsidR="00765BBF" w:rsidRPr="00DE6502">
              <w:rPr>
                <w:rFonts w:ascii="Times New Roman" w:hAnsi="Times New Roman"/>
                <w:b/>
                <w:i/>
                <w:sz w:val="24"/>
                <w:szCs w:val="24"/>
              </w:rPr>
              <w:t>?</w:t>
            </w:r>
            <w:r w:rsidR="009363ED" w:rsidRPr="00DE6502">
              <w:rPr>
                <w:rFonts w:ascii="Times New Roman" w:hAnsi="Times New Roman"/>
                <w:b/>
                <w:i/>
                <w:sz w:val="24"/>
                <w:szCs w:val="24"/>
              </w:rPr>
              <w:t xml:space="preserve"> </w:t>
            </w:r>
            <w:r w:rsidR="009363ED" w:rsidRPr="00DE6502">
              <w:rPr>
                <w:rFonts w:ascii="Times New Roman" w:hAnsi="Times New Roman"/>
                <w:b/>
                <w:bCs/>
                <w:i/>
                <w:color w:val="000000"/>
                <w:sz w:val="24"/>
                <w:szCs w:val="24"/>
              </w:rPr>
              <w:t>(osakaal 2% kogu hindepunktide skaalast; 5% 1. alapunkti kogumäärast)</w:t>
            </w:r>
          </w:p>
        </w:tc>
      </w:tr>
      <w:tr w:rsidR="009829C5" w:rsidRPr="00DE6502" w14:paraId="60D35E0F"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E0D" w14:textId="77777777" w:rsidR="009829C5" w:rsidRPr="00DE6502" w:rsidRDefault="009829C5" w:rsidP="00DC7B02">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35E0E" w14:textId="77777777" w:rsidR="009829C5" w:rsidRPr="00DE6502" w:rsidRDefault="00765BBF" w:rsidP="009B4290">
            <w:pPr>
              <w:rPr>
                <w:color w:val="000000"/>
              </w:rPr>
            </w:pPr>
            <w:r w:rsidRPr="00DE6502">
              <w:rPr>
                <w:color w:val="000000"/>
              </w:rPr>
              <w:t>Vajalike muudatuste elluviimise protsess ja ajakava on põhjalikult kirjeldatud ning realistlik</w:t>
            </w:r>
            <w:r w:rsidR="00DC7B02" w:rsidRPr="00DE6502">
              <w:rPr>
                <w:color w:val="000000"/>
              </w:rPr>
              <w:t>. Kui muudatusi ei ole vajalik teha</w:t>
            </w:r>
            <w:r w:rsidR="00755381" w:rsidRPr="00DE6502">
              <w:rPr>
                <w:color w:val="000000"/>
              </w:rPr>
              <w:t>,</w:t>
            </w:r>
            <w:r w:rsidR="00DC7B02" w:rsidRPr="00DE6502">
              <w:rPr>
                <w:color w:val="000000"/>
              </w:rPr>
              <w:t xml:space="preserve"> on see põhjendatud</w:t>
            </w:r>
            <w:r w:rsidR="00755381" w:rsidRPr="00DE6502">
              <w:rPr>
                <w:color w:val="000000"/>
              </w:rPr>
              <w:t>.</w:t>
            </w:r>
          </w:p>
        </w:tc>
      </w:tr>
      <w:tr w:rsidR="009829C5" w:rsidRPr="00DE6502" w14:paraId="60D35E12"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10" w14:textId="77777777" w:rsidR="009829C5" w:rsidRPr="00DE6502" w:rsidRDefault="009829C5"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11" w14:textId="77777777" w:rsidR="009829C5" w:rsidRPr="00DE6502" w:rsidRDefault="00765BBF" w:rsidP="00DC7B02">
            <w:pPr>
              <w:jc w:val="center"/>
              <w:rPr>
                <w:color w:val="000000"/>
              </w:rPr>
            </w:pPr>
            <w:r w:rsidRPr="00DE6502">
              <w:rPr>
                <w:color w:val="000000"/>
              </w:rPr>
              <w:t>Vahepealne hinnang</w:t>
            </w:r>
          </w:p>
        </w:tc>
      </w:tr>
      <w:tr w:rsidR="009829C5" w:rsidRPr="00DE6502" w14:paraId="60D35E15"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13" w14:textId="77777777" w:rsidR="009829C5" w:rsidRPr="00DE6502" w:rsidRDefault="009829C5"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14" w14:textId="77777777" w:rsidR="009829C5" w:rsidRPr="00DE6502" w:rsidRDefault="00765BBF" w:rsidP="009B4290">
            <w:pPr>
              <w:rPr>
                <w:color w:val="000000"/>
              </w:rPr>
            </w:pPr>
            <w:r w:rsidRPr="00DE6502">
              <w:rPr>
                <w:color w:val="000000"/>
              </w:rPr>
              <w:t>Vajalike muudatuste elluviimise protsess ja ajakava on kirjeldatud ning realistlik</w:t>
            </w:r>
            <w:r w:rsidR="00DC7B02" w:rsidRPr="00DE6502">
              <w:rPr>
                <w:color w:val="000000"/>
              </w:rPr>
              <w:t>. Kui muudatusi ei ole vajalik teha</w:t>
            </w:r>
            <w:r w:rsidR="00755381" w:rsidRPr="00DE6502">
              <w:rPr>
                <w:color w:val="000000"/>
              </w:rPr>
              <w:t>,</w:t>
            </w:r>
            <w:r w:rsidR="00DC7B02" w:rsidRPr="00DE6502">
              <w:rPr>
                <w:color w:val="000000"/>
              </w:rPr>
              <w:t xml:space="preserve"> on see lühidalt põhjendatud</w:t>
            </w:r>
            <w:r w:rsidR="00755381" w:rsidRPr="00DE6502">
              <w:rPr>
                <w:color w:val="000000"/>
              </w:rPr>
              <w:t>.</w:t>
            </w:r>
          </w:p>
        </w:tc>
      </w:tr>
      <w:tr w:rsidR="009829C5" w:rsidRPr="00DE6502" w14:paraId="60D35E18"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16" w14:textId="77777777" w:rsidR="009829C5" w:rsidRPr="00DE6502" w:rsidRDefault="009829C5"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17" w14:textId="77777777" w:rsidR="009829C5" w:rsidRPr="00DE6502" w:rsidRDefault="00765BBF" w:rsidP="00DC7B02">
            <w:pPr>
              <w:jc w:val="center"/>
              <w:rPr>
                <w:color w:val="000000"/>
              </w:rPr>
            </w:pPr>
            <w:r w:rsidRPr="00DE6502">
              <w:rPr>
                <w:color w:val="000000"/>
              </w:rPr>
              <w:t>Vahepealne hinnang</w:t>
            </w:r>
          </w:p>
        </w:tc>
      </w:tr>
      <w:tr w:rsidR="009829C5" w:rsidRPr="00DE6502" w14:paraId="60D35E1B"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80" w:type="dxa"/>
            <w:tcBorders>
              <w:top w:val="nil"/>
              <w:left w:val="single" w:sz="4" w:space="0" w:color="auto"/>
              <w:bottom w:val="nil"/>
              <w:right w:val="single" w:sz="4" w:space="0" w:color="auto"/>
            </w:tcBorders>
            <w:shd w:val="clear" w:color="auto" w:fill="auto"/>
            <w:noWrap/>
            <w:vAlign w:val="bottom"/>
            <w:hideMark/>
          </w:tcPr>
          <w:p w14:paraId="60D35E19" w14:textId="77777777" w:rsidR="009829C5" w:rsidRPr="00DE6502" w:rsidRDefault="009829C5" w:rsidP="00DC7B02">
            <w:pPr>
              <w:jc w:val="center"/>
              <w:rPr>
                <w:color w:val="000000"/>
              </w:rPr>
            </w:pPr>
            <w:r w:rsidRPr="00DE6502">
              <w:rPr>
                <w:color w:val="000000"/>
              </w:rPr>
              <w:t>0</w:t>
            </w:r>
          </w:p>
        </w:tc>
        <w:tc>
          <w:tcPr>
            <w:tcW w:w="8440" w:type="dxa"/>
            <w:gridSpan w:val="3"/>
            <w:tcBorders>
              <w:top w:val="nil"/>
              <w:left w:val="nil"/>
              <w:bottom w:val="nil"/>
              <w:right w:val="single" w:sz="4" w:space="0" w:color="auto"/>
            </w:tcBorders>
            <w:shd w:val="clear" w:color="auto" w:fill="auto"/>
            <w:noWrap/>
            <w:vAlign w:val="bottom"/>
            <w:hideMark/>
          </w:tcPr>
          <w:p w14:paraId="60D35E1A" w14:textId="77777777" w:rsidR="009829C5" w:rsidRPr="00DE6502" w:rsidRDefault="00765BBF" w:rsidP="009B4290">
            <w:pPr>
              <w:rPr>
                <w:color w:val="000000"/>
              </w:rPr>
            </w:pPr>
            <w:r w:rsidRPr="00DE6502">
              <w:rPr>
                <w:color w:val="000000"/>
              </w:rPr>
              <w:t>Vajalike muudatuste elluviimise protsess ja ajakava on kirjeldamata või ebarealistlik</w:t>
            </w:r>
            <w:r w:rsidR="00DC7B02" w:rsidRPr="00DE6502">
              <w:rPr>
                <w:color w:val="000000"/>
              </w:rPr>
              <w:t>. Puudub põh</w:t>
            </w:r>
            <w:r w:rsidR="00755381" w:rsidRPr="00DE6502">
              <w:rPr>
                <w:color w:val="000000"/>
              </w:rPr>
              <w:t>j</w:t>
            </w:r>
            <w:r w:rsidR="00DC7B02" w:rsidRPr="00DE6502">
              <w:rPr>
                <w:color w:val="000000"/>
              </w:rPr>
              <w:t>endus, miks muudatusi ei ole vajalik teha</w:t>
            </w:r>
            <w:r w:rsidR="00755381" w:rsidRPr="00DE6502">
              <w:rPr>
                <w:color w:val="000000"/>
              </w:rPr>
              <w:t>,</w:t>
            </w:r>
            <w:r w:rsidR="00DC7B02" w:rsidRPr="00DE6502">
              <w:rPr>
                <w:color w:val="000000"/>
              </w:rPr>
              <w:t xml:space="preserve"> kui on antud vastav hinnang</w:t>
            </w:r>
            <w:r w:rsidR="00755381" w:rsidRPr="00DE6502">
              <w:rPr>
                <w:color w:val="000000"/>
              </w:rPr>
              <w:t>.</w:t>
            </w:r>
            <w:r w:rsidR="00DC7B02" w:rsidRPr="00DE6502">
              <w:rPr>
                <w:color w:val="000000"/>
              </w:rPr>
              <w:t xml:space="preserve"> </w:t>
            </w:r>
          </w:p>
        </w:tc>
      </w:tr>
      <w:tr w:rsidR="009829C5" w:rsidRPr="00DE6502" w14:paraId="60D35E1D" w14:textId="77777777" w:rsidTr="008C2A49">
        <w:trPr>
          <w:trHeight w:val="405"/>
        </w:trPr>
        <w:tc>
          <w:tcPr>
            <w:tcW w:w="9220" w:type="dxa"/>
            <w:gridSpan w:val="4"/>
            <w:shd w:val="clear" w:color="auto" w:fill="FFFF00"/>
          </w:tcPr>
          <w:p w14:paraId="60D35E1C" w14:textId="77777777" w:rsidR="009829C5" w:rsidRPr="00DE6502" w:rsidRDefault="009829C5" w:rsidP="009B4290">
            <w:pPr>
              <w:spacing w:line="276" w:lineRule="auto"/>
              <w:rPr>
                <w:rFonts w:eastAsia="Calibri"/>
                <w:b/>
              </w:rPr>
            </w:pPr>
            <w:r w:rsidRPr="00DE6502">
              <w:rPr>
                <w:rFonts w:eastAsia="Calibri"/>
                <w:b/>
                <w:i/>
              </w:rPr>
              <w:t xml:space="preserve">1.5. </w:t>
            </w:r>
            <w:r w:rsidR="00765BBF" w:rsidRPr="00DE6502">
              <w:rPr>
                <w:rFonts w:eastAsia="Calibri"/>
                <w:b/>
                <w:i/>
              </w:rPr>
              <w:t>Hankija turuteadlikkus</w:t>
            </w:r>
            <w:r w:rsidR="009B4290" w:rsidRPr="00DE6502">
              <w:rPr>
                <w:rFonts w:eastAsia="Calibri"/>
                <w:b/>
                <w:i/>
              </w:rPr>
              <w:t xml:space="preserve"> </w:t>
            </w:r>
            <w:r w:rsidR="005E0448" w:rsidRPr="00DE6502">
              <w:rPr>
                <w:rFonts w:eastAsia="Calibri"/>
                <w:b/>
                <w:i/>
              </w:rPr>
              <w:t>–</w:t>
            </w:r>
            <w:r w:rsidR="00765BBF" w:rsidRPr="00DE6502">
              <w:rPr>
                <w:rFonts w:eastAsia="Calibri"/>
                <w:b/>
                <w:i/>
              </w:rPr>
              <w:t xml:space="preserve"> kas teostatud turuanalüüs on kvaliteetne (kas turuanalüüs vastab kõigile püstitatud küsimustele? Milline on vastuste kvaliteet, st kuivõrd ammendavalt on vastatud püstitatud küsimustele? Kas turuanalüüsist tuleneb lisa</w:t>
            </w:r>
            <w:r w:rsidR="005E0448" w:rsidRPr="00DE6502">
              <w:rPr>
                <w:rFonts w:eastAsia="Calibri"/>
                <w:b/>
                <w:i/>
              </w:rPr>
              <w:t>nd</w:t>
            </w:r>
            <w:r w:rsidR="00765BBF" w:rsidRPr="00DE6502">
              <w:rPr>
                <w:rFonts w:eastAsia="Calibri"/>
                <w:b/>
                <w:i/>
              </w:rPr>
              <w:t>väärtust, st kas on analüüsitud asjaolusid, mis ei olnud kohustuslikuna turuanalüüsi osadeks ja millest on hanke läbiviimisel kasu?</w:t>
            </w:r>
            <w:r w:rsidR="00765BBF" w:rsidRPr="00DE6502">
              <w:rPr>
                <w:rFonts w:eastAsia="Calibri"/>
                <w:b/>
              </w:rPr>
              <w:t xml:space="preserve"> </w:t>
            </w:r>
            <w:r w:rsidR="009363ED" w:rsidRPr="00DE6502">
              <w:rPr>
                <w:b/>
                <w:bCs/>
                <w:i/>
                <w:color w:val="000000"/>
              </w:rPr>
              <w:t xml:space="preserve">(osakaal </w:t>
            </w:r>
            <w:r w:rsidR="00DC7B02" w:rsidRPr="00DE6502">
              <w:rPr>
                <w:b/>
                <w:bCs/>
                <w:i/>
                <w:color w:val="000000"/>
              </w:rPr>
              <w:t>4</w:t>
            </w:r>
            <w:r w:rsidR="009363ED" w:rsidRPr="00DE6502">
              <w:rPr>
                <w:b/>
                <w:bCs/>
                <w:i/>
                <w:color w:val="000000"/>
              </w:rPr>
              <w:t>% kogu hindepunktide skaalast; 1</w:t>
            </w:r>
            <w:r w:rsidR="00DC7B02" w:rsidRPr="00DE6502">
              <w:rPr>
                <w:b/>
                <w:bCs/>
                <w:i/>
                <w:color w:val="000000"/>
              </w:rPr>
              <w:t>0</w:t>
            </w:r>
            <w:r w:rsidR="009363ED" w:rsidRPr="00DE6502">
              <w:rPr>
                <w:b/>
                <w:bCs/>
                <w:i/>
                <w:color w:val="000000"/>
              </w:rPr>
              <w:t>% 1. alapunkti kogumäärast)</w:t>
            </w:r>
          </w:p>
        </w:tc>
      </w:tr>
      <w:tr w:rsidR="009829C5" w:rsidRPr="00DE6502" w14:paraId="60D35E20"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E1E" w14:textId="77777777" w:rsidR="009829C5" w:rsidRPr="00DE6502" w:rsidRDefault="009829C5" w:rsidP="00DC7B02">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35E1F" w14:textId="77777777" w:rsidR="009829C5" w:rsidRPr="00DE6502" w:rsidRDefault="00765BBF" w:rsidP="009B4290">
            <w:pPr>
              <w:rPr>
                <w:color w:val="000000"/>
              </w:rPr>
            </w:pPr>
            <w:r w:rsidRPr="00DE6502">
              <w:rPr>
                <w:color w:val="000000"/>
              </w:rPr>
              <w:t>Turuanalüüs on koostatud põhjalikult ning vastab kõigile esitatud küsimustele ammendavalt. Turuanalüüs sisaldab lisa</w:t>
            </w:r>
            <w:r w:rsidR="005E0448" w:rsidRPr="00DE6502">
              <w:rPr>
                <w:color w:val="000000"/>
              </w:rPr>
              <w:t>nd</w:t>
            </w:r>
            <w:r w:rsidRPr="00DE6502">
              <w:rPr>
                <w:color w:val="000000"/>
              </w:rPr>
              <w:t>väärtusi.</w:t>
            </w:r>
          </w:p>
        </w:tc>
      </w:tr>
      <w:tr w:rsidR="009829C5" w:rsidRPr="00DE6502" w14:paraId="60D35E23"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21" w14:textId="77777777" w:rsidR="009829C5" w:rsidRPr="00DE6502" w:rsidRDefault="009829C5"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tcPr>
          <w:p w14:paraId="60D35E22" w14:textId="77777777" w:rsidR="009829C5" w:rsidRPr="00DE6502" w:rsidRDefault="00765BBF" w:rsidP="00DC7B02">
            <w:pPr>
              <w:jc w:val="center"/>
              <w:rPr>
                <w:color w:val="000000"/>
              </w:rPr>
            </w:pPr>
            <w:r w:rsidRPr="00DE6502">
              <w:rPr>
                <w:color w:val="000000"/>
              </w:rPr>
              <w:t>Vahepealne hinnang</w:t>
            </w:r>
          </w:p>
        </w:tc>
      </w:tr>
      <w:tr w:rsidR="00765BBF" w:rsidRPr="00DE6502" w14:paraId="60D35E26"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24" w14:textId="77777777" w:rsidR="00765BBF" w:rsidRPr="00DE6502" w:rsidRDefault="00765BBF"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25" w14:textId="77777777" w:rsidR="00765BBF" w:rsidRPr="00DE6502" w:rsidRDefault="00765BBF" w:rsidP="00E660FE">
            <w:pPr>
              <w:rPr>
                <w:color w:val="000000"/>
              </w:rPr>
            </w:pPr>
            <w:r w:rsidRPr="00DE6502">
              <w:rPr>
                <w:color w:val="000000"/>
              </w:rPr>
              <w:t>Turuanalüüs vastab kõigile esitatud küsimustele. Turuanalüüs sisaldab vähesel määral või ei sisalda lisa</w:t>
            </w:r>
            <w:r w:rsidR="005E0448" w:rsidRPr="00DE6502">
              <w:rPr>
                <w:color w:val="000000"/>
              </w:rPr>
              <w:t>nd</w:t>
            </w:r>
            <w:r w:rsidRPr="00DE6502">
              <w:rPr>
                <w:color w:val="000000"/>
              </w:rPr>
              <w:t>väärtusi.</w:t>
            </w:r>
          </w:p>
        </w:tc>
      </w:tr>
      <w:tr w:rsidR="00765BBF" w:rsidRPr="00DE6502" w14:paraId="60D35E29"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27" w14:textId="77777777" w:rsidR="00765BBF" w:rsidRPr="00DE6502" w:rsidRDefault="00765BBF"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28" w14:textId="77777777" w:rsidR="00765BBF" w:rsidRPr="00DE6502" w:rsidRDefault="00765BBF" w:rsidP="00DC7B02">
            <w:pPr>
              <w:jc w:val="center"/>
              <w:rPr>
                <w:color w:val="000000"/>
              </w:rPr>
            </w:pPr>
            <w:r w:rsidRPr="00DE6502">
              <w:rPr>
                <w:color w:val="000000"/>
              </w:rPr>
              <w:t>Vahepealne hinnang</w:t>
            </w:r>
          </w:p>
        </w:tc>
      </w:tr>
      <w:tr w:rsidR="00765BBF" w:rsidRPr="00DE6502" w14:paraId="60D35E2C"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80" w:type="dxa"/>
            <w:tcBorders>
              <w:top w:val="nil"/>
              <w:left w:val="single" w:sz="4" w:space="0" w:color="auto"/>
              <w:bottom w:val="nil"/>
              <w:right w:val="single" w:sz="4" w:space="0" w:color="auto"/>
            </w:tcBorders>
            <w:shd w:val="clear" w:color="auto" w:fill="auto"/>
            <w:noWrap/>
            <w:vAlign w:val="bottom"/>
            <w:hideMark/>
          </w:tcPr>
          <w:p w14:paraId="60D35E2A" w14:textId="77777777" w:rsidR="00765BBF" w:rsidRPr="00DE6502" w:rsidRDefault="00765BBF" w:rsidP="00DC7B02">
            <w:pPr>
              <w:jc w:val="center"/>
              <w:rPr>
                <w:color w:val="000000"/>
              </w:rPr>
            </w:pPr>
            <w:r w:rsidRPr="00DE6502">
              <w:rPr>
                <w:color w:val="000000"/>
              </w:rPr>
              <w:t>0</w:t>
            </w:r>
          </w:p>
        </w:tc>
        <w:tc>
          <w:tcPr>
            <w:tcW w:w="8440" w:type="dxa"/>
            <w:gridSpan w:val="3"/>
            <w:tcBorders>
              <w:top w:val="nil"/>
              <w:left w:val="nil"/>
              <w:bottom w:val="nil"/>
              <w:right w:val="single" w:sz="4" w:space="0" w:color="auto"/>
            </w:tcBorders>
            <w:shd w:val="clear" w:color="auto" w:fill="auto"/>
            <w:noWrap/>
            <w:vAlign w:val="bottom"/>
            <w:hideMark/>
          </w:tcPr>
          <w:p w14:paraId="60D35E2B" w14:textId="77777777" w:rsidR="00765BBF" w:rsidRPr="00DE6502" w:rsidRDefault="00765BBF" w:rsidP="009B4290">
            <w:pPr>
              <w:rPr>
                <w:color w:val="000000"/>
              </w:rPr>
            </w:pPr>
            <w:r w:rsidRPr="00DE6502">
              <w:rPr>
                <w:color w:val="000000"/>
              </w:rPr>
              <w:t>Turuanalüüs ei vasta kõigile esitatud küsimustele või teeb seda pealiskaudselt. Turuanalüüs ei sisalda</w:t>
            </w:r>
            <w:r w:rsidR="00A15790" w:rsidRPr="00DE6502">
              <w:rPr>
                <w:color w:val="000000"/>
              </w:rPr>
              <w:t xml:space="preserve"> lisa</w:t>
            </w:r>
            <w:r w:rsidR="005E0448" w:rsidRPr="00DE6502">
              <w:rPr>
                <w:color w:val="000000"/>
              </w:rPr>
              <w:t>nd</w:t>
            </w:r>
            <w:r w:rsidR="00A15790" w:rsidRPr="00DE6502">
              <w:rPr>
                <w:color w:val="000000"/>
              </w:rPr>
              <w:t>väärtusi</w:t>
            </w:r>
            <w:r w:rsidRPr="00DE6502">
              <w:rPr>
                <w:color w:val="000000"/>
              </w:rPr>
              <w:t>.</w:t>
            </w:r>
          </w:p>
        </w:tc>
      </w:tr>
      <w:tr w:rsidR="00765BBF" w:rsidRPr="00DE6502" w14:paraId="60D35E2F" w14:textId="77777777" w:rsidTr="008C2A49">
        <w:trPr>
          <w:trHeight w:val="671"/>
        </w:trPr>
        <w:tc>
          <w:tcPr>
            <w:tcW w:w="7943" w:type="dxa"/>
            <w:gridSpan w:val="3"/>
            <w:shd w:val="clear" w:color="auto" w:fill="92D050"/>
          </w:tcPr>
          <w:p w14:paraId="60D35E2D" w14:textId="77777777" w:rsidR="00765BBF" w:rsidRPr="00DE6502" w:rsidRDefault="00765BBF" w:rsidP="00DC7B02">
            <w:pPr>
              <w:spacing w:after="200" w:line="276" w:lineRule="auto"/>
              <w:contextualSpacing/>
              <w:rPr>
                <w:rFonts w:eastAsia="Calibri"/>
                <w:b/>
              </w:rPr>
            </w:pPr>
            <w:r w:rsidRPr="00DE6502">
              <w:rPr>
                <w:rFonts w:eastAsia="Calibri"/>
                <w:b/>
              </w:rPr>
              <w:t xml:space="preserve">2. </w:t>
            </w:r>
            <w:r w:rsidR="0046520F" w:rsidRPr="00DE6502">
              <w:rPr>
                <w:rFonts w:eastAsia="Calibri"/>
                <w:b/>
              </w:rPr>
              <w:t>P</w:t>
            </w:r>
            <w:r w:rsidR="009363ED" w:rsidRPr="00DE6502">
              <w:rPr>
                <w:rFonts w:eastAsia="Calibri"/>
                <w:b/>
              </w:rPr>
              <w:t>rojekti mõju turule/pakkujatele</w:t>
            </w:r>
          </w:p>
        </w:tc>
        <w:tc>
          <w:tcPr>
            <w:tcW w:w="1277" w:type="dxa"/>
            <w:shd w:val="clear" w:color="auto" w:fill="92D050"/>
          </w:tcPr>
          <w:p w14:paraId="60D35E2E" w14:textId="77777777" w:rsidR="00765BBF" w:rsidRPr="00DE6502" w:rsidRDefault="00995AB2" w:rsidP="0048098C">
            <w:pPr>
              <w:spacing w:line="276" w:lineRule="auto"/>
              <w:rPr>
                <w:rFonts w:eastAsia="Calibri"/>
                <w:b/>
              </w:rPr>
            </w:pPr>
            <w:r w:rsidRPr="00DE6502">
              <w:rPr>
                <w:rFonts w:eastAsia="Calibri"/>
                <w:b/>
              </w:rPr>
              <w:t>30</w:t>
            </w:r>
            <w:r w:rsidR="0048098C" w:rsidRPr="00DE6502">
              <w:rPr>
                <w:rFonts w:eastAsia="Calibri"/>
                <w:b/>
              </w:rPr>
              <w:t>%</w:t>
            </w:r>
          </w:p>
        </w:tc>
      </w:tr>
      <w:tr w:rsidR="009363ED" w:rsidRPr="00DE6502" w14:paraId="60D35E31" w14:textId="77777777" w:rsidTr="008C2A49">
        <w:trPr>
          <w:trHeight w:val="316"/>
        </w:trPr>
        <w:tc>
          <w:tcPr>
            <w:tcW w:w="9220" w:type="dxa"/>
            <w:gridSpan w:val="4"/>
            <w:shd w:val="clear" w:color="auto" w:fill="92D050"/>
          </w:tcPr>
          <w:p w14:paraId="60D35E30" w14:textId="77777777" w:rsidR="009363ED" w:rsidRPr="00DE6502" w:rsidRDefault="009363ED" w:rsidP="00DC7B02">
            <w:pPr>
              <w:tabs>
                <w:tab w:val="left" w:pos="374"/>
              </w:tabs>
              <w:spacing w:after="200" w:line="276" w:lineRule="auto"/>
              <w:contextualSpacing/>
              <w:rPr>
                <w:rFonts w:eastAsia="Calibri"/>
              </w:rPr>
            </w:pPr>
            <w:r w:rsidRPr="00DE6502">
              <w:rPr>
                <w:rFonts w:eastAsia="Calibri"/>
                <w:b/>
              </w:rPr>
              <w:t>Hinnatakse projekti mõju meetme eesmärkide täitmisse,</w:t>
            </w:r>
            <w:r w:rsidR="00A069D7" w:rsidRPr="00DE6502">
              <w:rPr>
                <w:rFonts w:eastAsia="Calibri"/>
                <w:b/>
              </w:rPr>
              <w:t xml:space="preserve"> mis keskenduvad ettevõtjale</w:t>
            </w:r>
            <w:r w:rsidR="00E660FE" w:rsidRPr="00DE6502">
              <w:rPr>
                <w:rFonts w:eastAsia="Calibri"/>
                <w:b/>
              </w:rPr>
              <w:t>/pakkujale</w:t>
            </w:r>
            <w:r w:rsidR="00A069D7" w:rsidRPr="00DE6502">
              <w:rPr>
                <w:rFonts w:eastAsia="Calibri"/>
                <w:b/>
              </w:rPr>
              <w:t xml:space="preserve"> ja turule. Hinnatakse</w:t>
            </w:r>
            <w:r w:rsidRPr="00DE6502">
              <w:rPr>
                <w:rFonts w:eastAsia="Calibri"/>
                <w:b/>
              </w:rPr>
              <w:t xml:space="preserve"> turu võimekust ja valmisolekut projekti valdkonnas lahendusi pakkuda ning turu trende ja müügipotentsiaali</w:t>
            </w:r>
            <w:r w:rsidR="0050160F" w:rsidRPr="00DE6502">
              <w:rPr>
                <w:rFonts w:eastAsia="Calibri"/>
                <w:b/>
              </w:rPr>
              <w:t>.</w:t>
            </w:r>
          </w:p>
        </w:tc>
      </w:tr>
      <w:tr w:rsidR="00765BBF" w:rsidRPr="00DE6502" w14:paraId="60D35E33" w14:textId="77777777" w:rsidTr="008C2A49">
        <w:trPr>
          <w:trHeight w:val="316"/>
        </w:trPr>
        <w:tc>
          <w:tcPr>
            <w:tcW w:w="9220" w:type="dxa"/>
            <w:gridSpan w:val="4"/>
            <w:shd w:val="clear" w:color="auto" w:fill="FFFF00"/>
          </w:tcPr>
          <w:p w14:paraId="60D35E32" w14:textId="77777777" w:rsidR="00765BBF" w:rsidRPr="00DE6502" w:rsidRDefault="00765BBF" w:rsidP="00E660FE">
            <w:pPr>
              <w:tabs>
                <w:tab w:val="left" w:pos="374"/>
              </w:tabs>
              <w:spacing w:after="200" w:line="276" w:lineRule="auto"/>
              <w:contextualSpacing/>
              <w:rPr>
                <w:rFonts w:eastAsia="Calibri"/>
                <w:b/>
                <w:i/>
              </w:rPr>
            </w:pPr>
            <w:r w:rsidRPr="00DE6502">
              <w:rPr>
                <w:rFonts w:eastAsia="Calibri"/>
                <w:b/>
                <w:i/>
              </w:rPr>
              <w:lastRenderedPageBreak/>
              <w:t xml:space="preserve">2.1. </w:t>
            </w:r>
            <w:r w:rsidR="0046520F" w:rsidRPr="00DE6502">
              <w:rPr>
                <w:b/>
                <w:i/>
              </w:rPr>
              <w:t xml:space="preserve">Kas lahenduse jaoks on olemas pakkujad? </w:t>
            </w:r>
            <w:r w:rsidR="00DC7B02" w:rsidRPr="00DE6502">
              <w:rPr>
                <w:b/>
                <w:bCs/>
                <w:i/>
                <w:color w:val="000000"/>
              </w:rPr>
              <w:t xml:space="preserve">(osakaal </w:t>
            </w:r>
            <w:r w:rsidR="00361BA2" w:rsidRPr="00DE6502">
              <w:rPr>
                <w:b/>
                <w:bCs/>
                <w:i/>
                <w:color w:val="000000"/>
              </w:rPr>
              <w:t>2</w:t>
            </w:r>
            <w:r w:rsidR="0049655D" w:rsidRPr="00DE6502">
              <w:rPr>
                <w:b/>
                <w:bCs/>
                <w:i/>
                <w:color w:val="000000"/>
              </w:rPr>
              <w:t>0</w:t>
            </w:r>
            <w:r w:rsidR="00DC7B02" w:rsidRPr="00DE6502">
              <w:rPr>
                <w:b/>
                <w:bCs/>
                <w:i/>
                <w:color w:val="000000"/>
              </w:rPr>
              <w:t xml:space="preserve">% kogu hindepunktide skaalast; </w:t>
            </w:r>
            <w:r w:rsidR="00E660FE" w:rsidRPr="00DE6502">
              <w:rPr>
                <w:b/>
                <w:bCs/>
                <w:i/>
                <w:color w:val="000000"/>
              </w:rPr>
              <w:t>2</w:t>
            </w:r>
            <w:r w:rsidR="0049655D" w:rsidRPr="00DE6502">
              <w:rPr>
                <w:b/>
                <w:bCs/>
                <w:i/>
                <w:color w:val="000000"/>
              </w:rPr>
              <w:t xml:space="preserve">/3 </w:t>
            </w:r>
            <w:r w:rsidR="00DC7B02" w:rsidRPr="00DE6502">
              <w:rPr>
                <w:b/>
                <w:bCs/>
                <w:i/>
                <w:color w:val="000000"/>
              </w:rPr>
              <w:t>2. alapunkti kogumäärast)</w:t>
            </w:r>
          </w:p>
        </w:tc>
      </w:tr>
      <w:tr w:rsidR="00765BBF" w:rsidRPr="00DE6502" w14:paraId="60D35E36"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5E34" w14:textId="77777777" w:rsidR="00765BBF" w:rsidRPr="00DE6502" w:rsidRDefault="00765BBF" w:rsidP="00DC7B02">
            <w:pPr>
              <w:jc w:val="center"/>
              <w:rPr>
                <w:color w:val="000000"/>
              </w:rPr>
            </w:pPr>
            <w:r w:rsidRPr="00DE6502">
              <w:rPr>
                <w:color w:val="000000"/>
              </w:rPr>
              <w:t>4</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35" w14:textId="77777777" w:rsidR="00765BBF" w:rsidRPr="00DE6502" w:rsidRDefault="0046520F" w:rsidP="00DC7B02">
            <w:pPr>
              <w:rPr>
                <w:color w:val="000000"/>
              </w:rPr>
            </w:pPr>
            <w:r w:rsidRPr="00DE6502">
              <w:rPr>
                <w:color w:val="000000"/>
              </w:rPr>
              <w:t>Tuvastatud on mitme suutliku potentsiaalse pakkuja olemasolu. Taotlus kirjeldab neid ning annab kindluse, et need potentsiaalsed pakkujad osalevad korraldatavas inno-hankes.</w:t>
            </w:r>
          </w:p>
        </w:tc>
      </w:tr>
      <w:tr w:rsidR="00765BBF" w:rsidRPr="00DE6502" w14:paraId="60D35E39"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37" w14:textId="77777777" w:rsidR="00765BBF" w:rsidRPr="00DE6502" w:rsidRDefault="00765BBF"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38" w14:textId="77777777" w:rsidR="00765BBF" w:rsidRPr="00DE6502" w:rsidRDefault="00765BBF" w:rsidP="00DC7B02">
            <w:pPr>
              <w:jc w:val="center"/>
              <w:rPr>
                <w:color w:val="000000"/>
              </w:rPr>
            </w:pPr>
            <w:r w:rsidRPr="00DE6502">
              <w:rPr>
                <w:color w:val="000000"/>
              </w:rPr>
              <w:t>Vahepealne hinnang</w:t>
            </w:r>
          </w:p>
        </w:tc>
      </w:tr>
      <w:tr w:rsidR="00765BBF" w:rsidRPr="00DE6502" w14:paraId="60D35E3C"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D35E3A" w14:textId="77777777" w:rsidR="00765BBF" w:rsidRPr="00DE6502" w:rsidRDefault="00765BBF"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3B" w14:textId="77777777" w:rsidR="00765BBF" w:rsidRPr="00DE6502" w:rsidRDefault="0046520F" w:rsidP="00DC7B02">
            <w:pPr>
              <w:rPr>
                <w:color w:val="000000"/>
              </w:rPr>
            </w:pPr>
            <w:r w:rsidRPr="00DE6502">
              <w:rPr>
                <w:color w:val="000000"/>
              </w:rPr>
              <w:t>Tuvastatud on kuni kahe suutliku potentsiaalse pakkuja olemasolu. Taotlus kirjeldab neid ning annab kindluse, et vähemalt üks potentsiaalne pakkuja osaleb korraldatavas inno-hankes.</w:t>
            </w:r>
          </w:p>
        </w:tc>
      </w:tr>
      <w:tr w:rsidR="00765BBF" w:rsidRPr="00DE6502" w14:paraId="60D35E3F"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3D" w14:textId="77777777" w:rsidR="00765BBF" w:rsidRPr="00DE6502" w:rsidRDefault="00765BBF"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3E" w14:textId="77777777" w:rsidR="00765BBF" w:rsidRPr="00DE6502" w:rsidRDefault="00765BBF" w:rsidP="00DC7B02">
            <w:pPr>
              <w:jc w:val="center"/>
              <w:rPr>
                <w:color w:val="000000"/>
              </w:rPr>
            </w:pPr>
            <w:r w:rsidRPr="00DE6502">
              <w:rPr>
                <w:color w:val="000000"/>
              </w:rPr>
              <w:t>Vahepealne hinnang</w:t>
            </w:r>
          </w:p>
        </w:tc>
      </w:tr>
      <w:tr w:rsidR="00765BBF" w:rsidRPr="00DE6502" w14:paraId="60D35E42"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8" w:space="0" w:color="auto"/>
              <w:right w:val="single" w:sz="4" w:space="0" w:color="auto"/>
            </w:tcBorders>
            <w:shd w:val="clear" w:color="auto" w:fill="auto"/>
            <w:noWrap/>
            <w:vAlign w:val="center"/>
            <w:hideMark/>
          </w:tcPr>
          <w:p w14:paraId="60D35E40" w14:textId="77777777" w:rsidR="00765BBF" w:rsidRPr="00DE6502" w:rsidRDefault="00765BBF" w:rsidP="00DC7B02">
            <w:pPr>
              <w:jc w:val="center"/>
              <w:rPr>
                <w:color w:val="000000"/>
              </w:rPr>
            </w:pPr>
            <w:r w:rsidRPr="00DE6502">
              <w:rPr>
                <w:color w:val="000000"/>
              </w:rPr>
              <w:t>0</w:t>
            </w:r>
          </w:p>
        </w:tc>
        <w:tc>
          <w:tcPr>
            <w:tcW w:w="8440" w:type="dxa"/>
            <w:gridSpan w:val="3"/>
            <w:tcBorders>
              <w:top w:val="nil"/>
              <w:left w:val="nil"/>
              <w:bottom w:val="nil"/>
              <w:right w:val="single" w:sz="4" w:space="0" w:color="auto"/>
            </w:tcBorders>
            <w:shd w:val="clear" w:color="auto" w:fill="auto"/>
            <w:vAlign w:val="bottom"/>
            <w:hideMark/>
          </w:tcPr>
          <w:p w14:paraId="60D35E41" w14:textId="77777777" w:rsidR="00765BBF" w:rsidRPr="00DE6502" w:rsidRDefault="0046520F" w:rsidP="009B4290">
            <w:pPr>
              <w:rPr>
                <w:color w:val="000000"/>
              </w:rPr>
            </w:pPr>
            <w:r w:rsidRPr="00DE6502">
              <w:rPr>
                <w:color w:val="000000"/>
              </w:rPr>
              <w:t>Potentsiaalse</w:t>
            </w:r>
            <w:r w:rsidR="00B522E0" w:rsidRPr="00DE6502">
              <w:rPr>
                <w:color w:val="000000"/>
              </w:rPr>
              <w:t>te</w:t>
            </w:r>
            <w:r w:rsidRPr="00DE6502">
              <w:rPr>
                <w:color w:val="000000"/>
              </w:rPr>
              <w:t xml:space="preserve"> pakkuja</w:t>
            </w:r>
            <w:r w:rsidR="00B522E0" w:rsidRPr="00DE6502">
              <w:rPr>
                <w:color w:val="000000"/>
              </w:rPr>
              <w:t>te</w:t>
            </w:r>
            <w:r w:rsidRPr="00DE6502">
              <w:rPr>
                <w:color w:val="000000"/>
              </w:rPr>
              <w:t xml:space="preserve"> olemasolu ei ole tuvastatud või taotluses toodud kirjelduse põhjal puudub kindlus, et vähemalt üks potentsiaalne pakkuja osaleb korraldatavas inno-hankes.</w:t>
            </w:r>
          </w:p>
        </w:tc>
      </w:tr>
      <w:tr w:rsidR="00765BBF" w:rsidRPr="00DE6502" w14:paraId="60D35E44" w14:textId="77777777" w:rsidTr="008C2A49">
        <w:trPr>
          <w:trHeight w:val="349"/>
        </w:trPr>
        <w:tc>
          <w:tcPr>
            <w:tcW w:w="9220" w:type="dxa"/>
            <w:gridSpan w:val="4"/>
            <w:shd w:val="clear" w:color="auto" w:fill="FFFF00"/>
          </w:tcPr>
          <w:p w14:paraId="60D35E43" w14:textId="77777777" w:rsidR="00765BBF" w:rsidRPr="00DE6502" w:rsidRDefault="00765BBF" w:rsidP="00E660FE">
            <w:pPr>
              <w:tabs>
                <w:tab w:val="left" w:pos="799"/>
              </w:tabs>
              <w:spacing w:after="200" w:line="276" w:lineRule="auto"/>
              <w:ind w:left="928" w:hanging="568"/>
              <w:contextualSpacing/>
              <w:rPr>
                <w:rFonts w:eastAsia="Calibri"/>
                <w:b/>
                <w:i/>
              </w:rPr>
            </w:pPr>
            <w:r w:rsidRPr="00DE6502">
              <w:rPr>
                <w:rFonts w:eastAsia="Calibri"/>
                <w:b/>
                <w:i/>
              </w:rPr>
              <w:t xml:space="preserve">2.2. </w:t>
            </w:r>
            <w:r w:rsidR="00B522E0" w:rsidRPr="00DE6502">
              <w:rPr>
                <w:rFonts w:eastAsia="Calibri"/>
                <w:b/>
                <w:i/>
              </w:rPr>
              <w:t xml:space="preserve">Kas ja kuivõrd on projekti aluseks olev probleem laiemalt levinud ning sisaldab seega potentsiaali uuteks klientideks, sh nii Eestis kui ka mujal riikides on lahendus müüdav ning kui suur on lahenduse ekspordipotentsiaal? </w:t>
            </w:r>
            <w:r w:rsidR="00DC7B02" w:rsidRPr="00DE6502">
              <w:rPr>
                <w:b/>
                <w:bCs/>
                <w:i/>
                <w:color w:val="000000"/>
              </w:rPr>
              <w:t xml:space="preserve">(osakaal </w:t>
            </w:r>
            <w:r w:rsidR="00361BA2" w:rsidRPr="00DE6502">
              <w:rPr>
                <w:b/>
                <w:bCs/>
                <w:i/>
                <w:color w:val="000000"/>
              </w:rPr>
              <w:t>1</w:t>
            </w:r>
            <w:r w:rsidR="0049655D" w:rsidRPr="00DE6502">
              <w:rPr>
                <w:b/>
                <w:bCs/>
                <w:i/>
                <w:color w:val="000000"/>
              </w:rPr>
              <w:t>0</w:t>
            </w:r>
            <w:r w:rsidR="00DC7B02" w:rsidRPr="00DE6502">
              <w:rPr>
                <w:b/>
                <w:bCs/>
                <w:i/>
                <w:color w:val="000000"/>
              </w:rPr>
              <w:t xml:space="preserve">% kogu hindepunktide skaalast; </w:t>
            </w:r>
            <w:r w:rsidR="00E660FE" w:rsidRPr="00DE6502">
              <w:rPr>
                <w:b/>
                <w:bCs/>
                <w:i/>
                <w:color w:val="000000"/>
              </w:rPr>
              <w:t>1</w:t>
            </w:r>
            <w:r w:rsidR="00995AB2" w:rsidRPr="00DE6502">
              <w:rPr>
                <w:b/>
                <w:bCs/>
                <w:i/>
                <w:color w:val="000000"/>
              </w:rPr>
              <w:t>/</w:t>
            </w:r>
            <w:r w:rsidR="0049655D" w:rsidRPr="00DE6502">
              <w:rPr>
                <w:b/>
                <w:bCs/>
                <w:i/>
                <w:color w:val="000000"/>
              </w:rPr>
              <w:t>3</w:t>
            </w:r>
            <w:r w:rsidR="00995AB2" w:rsidRPr="00DE6502">
              <w:rPr>
                <w:b/>
                <w:bCs/>
                <w:i/>
                <w:color w:val="000000"/>
              </w:rPr>
              <w:t xml:space="preserve"> </w:t>
            </w:r>
            <w:r w:rsidR="00DC7B02" w:rsidRPr="00DE6502">
              <w:rPr>
                <w:b/>
                <w:bCs/>
                <w:i/>
                <w:color w:val="000000"/>
              </w:rPr>
              <w:t>2. alapunkti kogumäärast)</w:t>
            </w:r>
          </w:p>
        </w:tc>
      </w:tr>
      <w:tr w:rsidR="00765BBF" w:rsidRPr="00DE6502" w14:paraId="60D35E47"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E45" w14:textId="77777777" w:rsidR="00765BBF" w:rsidRPr="00DE6502" w:rsidRDefault="00765BBF" w:rsidP="00DC7B02">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vAlign w:val="bottom"/>
            <w:hideMark/>
          </w:tcPr>
          <w:p w14:paraId="60D35E46" w14:textId="77777777" w:rsidR="00765BBF" w:rsidRPr="00DE6502" w:rsidRDefault="00B522E0" w:rsidP="00502DB9">
            <w:pPr>
              <w:rPr>
                <w:color w:val="000000"/>
              </w:rPr>
            </w:pPr>
            <w:r w:rsidRPr="00DE6502">
              <w:rPr>
                <w:color w:val="000000"/>
              </w:rPr>
              <w:t xml:space="preserve">Lahendust nõudev probleem on laialt levinud ning </w:t>
            </w:r>
            <w:r w:rsidR="00502DB9" w:rsidRPr="00DE6502">
              <w:rPr>
                <w:color w:val="000000"/>
              </w:rPr>
              <w:t xml:space="preserve">lahendusel on </w:t>
            </w:r>
            <w:r w:rsidRPr="00DE6502">
              <w:rPr>
                <w:color w:val="000000"/>
              </w:rPr>
              <w:t>märkimisväär</w:t>
            </w:r>
            <w:r w:rsidR="00502DB9" w:rsidRPr="00DE6502">
              <w:rPr>
                <w:color w:val="000000"/>
              </w:rPr>
              <w:t>ne</w:t>
            </w:r>
            <w:r w:rsidRPr="00DE6502">
              <w:rPr>
                <w:color w:val="000000"/>
              </w:rPr>
              <w:t xml:space="preserve"> turg. Turutakistused on olematud või väikesed või on need lihtsalt kõrvaldatavad. Ekspordipotentsiaali korral on tegemist lihtsalt eksporditava (vajadusel lihtsalt kohandatava) tulemiga</w:t>
            </w:r>
            <w:r w:rsidR="00DE6502" w:rsidRPr="00DE6502">
              <w:rPr>
                <w:color w:val="000000"/>
              </w:rPr>
              <w:t>.</w:t>
            </w:r>
          </w:p>
        </w:tc>
      </w:tr>
      <w:tr w:rsidR="00765BBF" w:rsidRPr="00DE6502" w14:paraId="60D35E4A"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48" w14:textId="77777777" w:rsidR="00765BBF" w:rsidRPr="00DE6502" w:rsidRDefault="00765BBF"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49" w14:textId="77777777" w:rsidR="00765BBF" w:rsidRPr="00DE6502" w:rsidRDefault="00765BBF" w:rsidP="00DC7B02">
            <w:pPr>
              <w:jc w:val="center"/>
              <w:rPr>
                <w:color w:val="000000"/>
              </w:rPr>
            </w:pPr>
            <w:r w:rsidRPr="00DE6502">
              <w:rPr>
                <w:color w:val="000000"/>
              </w:rPr>
              <w:t>Vahepealne hinnang</w:t>
            </w:r>
          </w:p>
        </w:tc>
      </w:tr>
      <w:tr w:rsidR="00765BBF" w:rsidRPr="00DE6502" w14:paraId="60D35E4D"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4B" w14:textId="77777777" w:rsidR="00765BBF" w:rsidRPr="00DE6502" w:rsidRDefault="00765BBF"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4C" w14:textId="77777777" w:rsidR="00765BBF" w:rsidRPr="00DE6502" w:rsidRDefault="00960249" w:rsidP="00960249">
            <w:pPr>
              <w:rPr>
                <w:color w:val="000000"/>
              </w:rPr>
            </w:pPr>
            <w:r w:rsidRPr="00DE6502">
              <w:rPr>
                <w:color w:val="000000"/>
              </w:rPr>
              <w:t>Probleemi ulatus on vähene</w:t>
            </w:r>
            <w:r w:rsidR="00401C11" w:rsidRPr="00DE6502">
              <w:rPr>
                <w:color w:val="000000"/>
              </w:rPr>
              <w:t>/piiratud</w:t>
            </w:r>
            <w:r w:rsidRPr="00DE6502">
              <w:rPr>
                <w:color w:val="000000"/>
              </w:rPr>
              <w:t xml:space="preserve"> ning lahendusel on mõningane turg. </w:t>
            </w:r>
            <w:r w:rsidR="00B522E0" w:rsidRPr="00DE6502">
              <w:rPr>
                <w:color w:val="000000"/>
              </w:rPr>
              <w:t>Turutakistused on väikesed või keskmised</w:t>
            </w:r>
            <w:r w:rsidRPr="00DE6502">
              <w:rPr>
                <w:color w:val="000000"/>
              </w:rPr>
              <w:t>,</w:t>
            </w:r>
            <w:r w:rsidR="00B522E0" w:rsidRPr="00DE6502">
              <w:rPr>
                <w:color w:val="000000"/>
              </w:rPr>
              <w:t xml:space="preserve"> kuid kõrvaldatavad. Ekspordipotentsiaali korral on tegemist eksporditava (vajadusel kohandatava) tulemiga.</w:t>
            </w:r>
          </w:p>
        </w:tc>
      </w:tr>
      <w:tr w:rsidR="00765BBF" w:rsidRPr="00DE6502" w14:paraId="60D35E50"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4E" w14:textId="77777777" w:rsidR="00765BBF" w:rsidRPr="00DE6502" w:rsidRDefault="00765BBF" w:rsidP="00DC7B02">
            <w:pPr>
              <w:rPr>
                <w:color w:val="000000"/>
              </w:rPr>
            </w:pP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4F" w14:textId="77777777" w:rsidR="00765BBF" w:rsidRPr="00DE6502" w:rsidRDefault="00765BBF" w:rsidP="00DC7B02">
            <w:pPr>
              <w:jc w:val="center"/>
              <w:rPr>
                <w:color w:val="000000"/>
              </w:rPr>
            </w:pPr>
            <w:r w:rsidRPr="00DE6502">
              <w:rPr>
                <w:color w:val="000000"/>
              </w:rPr>
              <w:t>Vahepealne hinnang</w:t>
            </w:r>
          </w:p>
        </w:tc>
      </w:tr>
      <w:tr w:rsidR="00765BBF" w:rsidRPr="00DE6502" w14:paraId="60D35E53"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nil"/>
              <w:right w:val="single" w:sz="4" w:space="0" w:color="auto"/>
            </w:tcBorders>
            <w:shd w:val="clear" w:color="auto" w:fill="auto"/>
            <w:noWrap/>
            <w:vAlign w:val="bottom"/>
            <w:hideMark/>
          </w:tcPr>
          <w:p w14:paraId="60D35E51" w14:textId="77777777" w:rsidR="00765BBF" w:rsidRPr="00DE6502" w:rsidRDefault="00765BBF" w:rsidP="00DC7B02">
            <w:pPr>
              <w:jc w:val="center"/>
              <w:rPr>
                <w:color w:val="000000"/>
              </w:rPr>
            </w:pPr>
            <w:r w:rsidRPr="00DE6502">
              <w:rPr>
                <w:color w:val="000000"/>
              </w:rPr>
              <w:t>0</w:t>
            </w:r>
          </w:p>
        </w:tc>
        <w:tc>
          <w:tcPr>
            <w:tcW w:w="8440" w:type="dxa"/>
            <w:gridSpan w:val="3"/>
            <w:tcBorders>
              <w:top w:val="nil"/>
              <w:left w:val="nil"/>
              <w:bottom w:val="nil"/>
              <w:right w:val="single" w:sz="4" w:space="0" w:color="auto"/>
            </w:tcBorders>
            <w:shd w:val="clear" w:color="auto" w:fill="auto"/>
            <w:vAlign w:val="bottom"/>
            <w:hideMark/>
          </w:tcPr>
          <w:p w14:paraId="60D35E52" w14:textId="77777777" w:rsidR="00765BBF" w:rsidRPr="00DE6502" w:rsidRDefault="00827626" w:rsidP="00827626">
            <w:pPr>
              <w:rPr>
                <w:color w:val="000000"/>
              </w:rPr>
            </w:pPr>
            <w:r w:rsidRPr="00DE6502">
              <w:rPr>
                <w:color w:val="000000"/>
              </w:rPr>
              <w:t xml:space="preserve">Projekti aluseks olev probleemi ei ole levinud ning lahendus ei oma turgu või </w:t>
            </w:r>
            <w:r w:rsidR="00B522E0" w:rsidRPr="00DE6502">
              <w:rPr>
                <w:color w:val="000000"/>
              </w:rPr>
              <w:t>on see väga piiratud Turutakistused on suured või mitte kõrvaldatavad. Ekspordipotentsiaal puudub või on tegemist väga raskelt eksporditava või mittekohandatava tulemiga.</w:t>
            </w:r>
          </w:p>
        </w:tc>
      </w:tr>
      <w:tr w:rsidR="00765BBF" w:rsidRPr="00DE6502" w14:paraId="60D35E56" w14:textId="77777777" w:rsidTr="008C2A49">
        <w:trPr>
          <w:trHeight w:val="557"/>
        </w:trPr>
        <w:tc>
          <w:tcPr>
            <w:tcW w:w="7943" w:type="dxa"/>
            <w:gridSpan w:val="3"/>
            <w:shd w:val="clear" w:color="auto" w:fill="92D050"/>
          </w:tcPr>
          <w:p w14:paraId="60D35E54" w14:textId="77777777" w:rsidR="00765BBF" w:rsidRPr="00DE6502" w:rsidRDefault="00765BBF" w:rsidP="00DC7B02">
            <w:pPr>
              <w:spacing w:after="200" w:line="276" w:lineRule="auto"/>
              <w:contextualSpacing/>
              <w:rPr>
                <w:rFonts w:eastAsia="Calibri"/>
                <w:b/>
              </w:rPr>
            </w:pPr>
            <w:r w:rsidRPr="00DE6502">
              <w:rPr>
                <w:rFonts w:eastAsia="Calibri"/>
                <w:b/>
              </w:rPr>
              <w:t xml:space="preserve">3. </w:t>
            </w:r>
            <w:r w:rsidR="004B3E3E" w:rsidRPr="00DE6502">
              <w:rPr>
                <w:rFonts w:eastAsia="Calibri"/>
                <w:b/>
              </w:rPr>
              <w:t>Projekti e</w:t>
            </w:r>
            <w:r w:rsidR="004B3E3E" w:rsidRPr="00DE6502">
              <w:rPr>
                <w:b/>
              </w:rPr>
              <w:t>elarve realistlikkus ja mõistlikkus</w:t>
            </w:r>
            <w:r w:rsidR="00DC7B02" w:rsidRPr="00DE6502">
              <w:rPr>
                <w:b/>
              </w:rPr>
              <w:t xml:space="preserve"> </w:t>
            </w:r>
          </w:p>
        </w:tc>
        <w:tc>
          <w:tcPr>
            <w:tcW w:w="1277" w:type="dxa"/>
            <w:shd w:val="clear" w:color="auto" w:fill="92D050"/>
          </w:tcPr>
          <w:p w14:paraId="60D35E55" w14:textId="77777777" w:rsidR="00765BBF" w:rsidRPr="00DE6502" w:rsidRDefault="004B3E3E" w:rsidP="00DC7B02">
            <w:pPr>
              <w:spacing w:line="276" w:lineRule="auto"/>
              <w:rPr>
                <w:rFonts w:eastAsia="Calibri"/>
                <w:b/>
              </w:rPr>
            </w:pPr>
            <w:r w:rsidRPr="00DE6502">
              <w:rPr>
                <w:rFonts w:eastAsia="Calibri"/>
                <w:b/>
              </w:rPr>
              <w:t>1</w:t>
            </w:r>
            <w:r w:rsidR="00765BBF" w:rsidRPr="00DE6502">
              <w:rPr>
                <w:rFonts w:eastAsia="Calibri"/>
                <w:b/>
              </w:rPr>
              <w:t>0%</w:t>
            </w:r>
          </w:p>
        </w:tc>
      </w:tr>
      <w:tr w:rsidR="00DC7B02" w:rsidRPr="00DE6502" w14:paraId="60D35E58" w14:textId="77777777" w:rsidTr="008C2A49">
        <w:trPr>
          <w:trHeight w:val="557"/>
        </w:trPr>
        <w:tc>
          <w:tcPr>
            <w:tcW w:w="9220" w:type="dxa"/>
            <w:gridSpan w:val="4"/>
            <w:shd w:val="clear" w:color="auto" w:fill="92D050"/>
          </w:tcPr>
          <w:p w14:paraId="60D35E57" w14:textId="77777777" w:rsidR="00DC7B02" w:rsidRPr="00DE6502" w:rsidRDefault="00DC7B02" w:rsidP="00DC7B02">
            <w:pPr>
              <w:spacing w:after="200" w:line="276" w:lineRule="auto"/>
              <w:contextualSpacing/>
              <w:rPr>
                <w:rFonts w:eastAsia="Calibri"/>
              </w:rPr>
            </w:pPr>
            <w:r w:rsidRPr="00DE6502">
              <w:rPr>
                <w:b/>
              </w:rPr>
              <w:t>Kas planeeritud tegevused on piisavalt kuluefektiivsed planeeritud eesmärgi saavutamiseks ning kas eelarve on mõistlikkust ja realistlik?</w:t>
            </w:r>
          </w:p>
        </w:tc>
      </w:tr>
      <w:tr w:rsidR="00765BBF" w:rsidRPr="00DE6502" w14:paraId="60D35E5B"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E59" w14:textId="77777777" w:rsidR="00765BBF" w:rsidRPr="00DE6502" w:rsidRDefault="00765BBF" w:rsidP="00DC7B02">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vAlign w:val="bottom"/>
            <w:hideMark/>
          </w:tcPr>
          <w:p w14:paraId="60D35E5A" w14:textId="77777777" w:rsidR="00765BBF" w:rsidRPr="00DE6502" w:rsidRDefault="00765BBF" w:rsidP="009B4290">
            <w:pPr>
              <w:rPr>
                <w:color w:val="000000"/>
              </w:rPr>
            </w:pPr>
            <w:r w:rsidRPr="00DE6502">
              <w:rPr>
                <w:color w:val="000000"/>
              </w:rPr>
              <w:t>Projekti eelarve on tegevuste elluviimiseks</w:t>
            </w:r>
            <w:r w:rsidR="004B3E3E" w:rsidRPr="00DE6502">
              <w:rPr>
                <w:color w:val="000000"/>
              </w:rPr>
              <w:t xml:space="preserve"> realistlik,</w:t>
            </w:r>
            <w:r w:rsidRPr="00DE6502">
              <w:rPr>
                <w:color w:val="000000"/>
              </w:rPr>
              <w:t xml:space="preserve"> optimaalne ning piisavalt kuluefektiivne planeeritud tulemuste saavutamiseks</w:t>
            </w:r>
            <w:r w:rsidR="00DE6502" w:rsidRPr="00DE6502">
              <w:rPr>
                <w:color w:val="000000"/>
              </w:rPr>
              <w:t>.</w:t>
            </w:r>
          </w:p>
        </w:tc>
      </w:tr>
      <w:tr w:rsidR="00765BBF" w:rsidRPr="00DE6502" w14:paraId="60D35E5E"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5C" w14:textId="77777777" w:rsidR="00765BBF" w:rsidRPr="00DE6502" w:rsidRDefault="00765BBF"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5D" w14:textId="77777777" w:rsidR="00765BBF" w:rsidRPr="00DE6502" w:rsidRDefault="00765BBF" w:rsidP="00DC7B02">
            <w:pPr>
              <w:jc w:val="center"/>
              <w:rPr>
                <w:color w:val="000000"/>
              </w:rPr>
            </w:pPr>
            <w:r w:rsidRPr="00DE6502">
              <w:rPr>
                <w:color w:val="000000"/>
              </w:rPr>
              <w:t>Vahepealne hinnang</w:t>
            </w:r>
          </w:p>
        </w:tc>
      </w:tr>
      <w:tr w:rsidR="00765BBF" w:rsidRPr="00DE6502" w14:paraId="60D35E61"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5F" w14:textId="77777777" w:rsidR="00765BBF" w:rsidRPr="00DE6502" w:rsidRDefault="00765BBF"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60" w14:textId="77777777" w:rsidR="00765BBF" w:rsidRPr="00DE6502" w:rsidRDefault="00765BBF" w:rsidP="009B4290">
            <w:pPr>
              <w:rPr>
                <w:color w:val="000000"/>
              </w:rPr>
            </w:pPr>
            <w:r w:rsidRPr="00DE6502">
              <w:rPr>
                <w:color w:val="000000"/>
              </w:rPr>
              <w:t xml:space="preserve">Projekti eelarve on tegevuste elluviimiseks </w:t>
            </w:r>
            <w:r w:rsidR="004B3E3E" w:rsidRPr="00DE6502">
              <w:rPr>
                <w:color w:val="000000"/>
              </w:rPr>
              <w:t>realistlik</w:t>
            </w:r>
            <w:r w:rsidR="004C4078" w:rsidRPr="00DE6502">
              <w:rPr>
                <w:color w:val="000000"/>
              </w:rPr>
              <w:t>,</w:t>
            </w:r>
            <w:r w:rsidR="004B3E3E" w:rsidRPr="00DE6502">
              <w:rPr>
                <w:color w:val="000000"/>
              </w:rPr>
              <w:t xml:space="preserve"> kuid mitte </w:t>
            </w:r>
            <w:r w:rsidRPr="00DE6502">
              <w:rPr>
                <w:color w:val="000000"/>
              </w:rPr>
              <w:t xml:space="preserve">optimaalne </w:t>
            </w:r>
            <w:r w:rsidR="004B3E3E" w:rsidRPr="00DE6502">
              <w:rPr>
                <w:color w:val="000000"/>
              </w:rPr>
              <w:t>või</w:t>
            </w:r>
            <w:r w:rsidRPr="00DE6502">
              <w:rPr>
                <w:color w:val="000000"/>
              </w:rPr>
              <w:t xml:space="preserve"> piisavalt kuluefektiivne</w:t>
            </w:r>
            <w:r w:rsidR="00DE6502" w:rsidRPr="00DE6502">
              <w:rPr>
                <w:color w:val="000000"/>
              </w:rPr>
              <w:t>.</w:t>
            </w:r>
          </w:p>
        </w:tc>
      </w:tr>
      <w:tr w:rsidR="00765BBF" w:rsidRPr="00DE6502" w14:paraId="60D35E64"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62" w14:textId="77777777" w:rsidR="00765BBF" w:rsidRPr="00DE6502" w:rsidRDefault="00765BBF"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63" w14:textId="77777777" w:rsidR="00765BBF" w:rsidRPr="00DE6502" w:rsidRDefault="00765BBF" w:rsidP="00DC7B02">
            <w:pPr>
              <w:jc w:val="center"/>
              <w:rPr>
                <w:color w:val="000000"/>
              </w:rPr>
            </w:pPr>
            <w:r w:rsidRPr="00DE6502">
              <w:rPr>
                <w:color w:val="000000"/>
              </w:rPr>
              <w:t>Vahepealne hinnang</w:t>
            </w:r>
          </w:p>
        </w:tc>
      </w:tr>
      <w:tr w:rsidR="00765BBF" w:rsidRPr="00DE6502" w14:paraId="60D35E67"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E65" w14:textId="77777777" w:rsidR="00765BBF" w:rsidRPr="00DE6502" w:rsidRDefault="00765BBF" w:rsidP="00DC7B02">
            <w:pPr>
              <w:jc w:val="center"/>
              <w:rPr>
                <w:color w:val="000000"/>
              </w:rPr>
            </w:pPr>
            <w:r w:rsidRPr="00DE6502">
              <w:rPr>
                <w:color w:val="000000"/>
              </w:rPr>
              <w:t>0</w:t>
            </w:r>
          </w:p>
        </w:tc>
        <w:tc>
          <w:tcPr>
            <w:tcW w:w="84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D35E66" w14:textId="77777777" w:rsidR="00765BBF" w:rsidRPr="00DE6502" w:rsidRDefault="00765BBF" w:rsidP="009B4290">
            <w:pPr>
              <w:rPr>
                <w:color w:val="000000"/>
              </w:rPr>
            </w:pPr>
            <w:r w:rsidRPr="00DE6502">
              <w:rPr>
                <w:color w:val="000000"/>
              </w:rPr>
              <w:t xml:space="preserve">Projekti eelarve tegevuste elluviimiseks ei ole </w:t>
            </w:r>
            <w:r w:rsidR="004B3E3E" w:rsidRPr="00DE6502">
              <w:rPr>
                <w:color w:val="000000"/>
              </w:rPr>
              <w:t>realistlik, optimaalne ega</w:t>
            </w:r>
            <w:r w:rsidRPr="00DE6502">
              <w:rPr>
                <w:color w:val="000000"/>
              </w:rPr>
              <w:t xml:space="preserve"> piisav.</w:t>
            </w:r>
          </w:p>
        </w:tc>
      </w:tr>
      <w:tr w:rsidR="00765BBF" w:rsidRPr="00DE6502" w14:paraId="60D35E6A" w14:textId="77777777" w:rsidTr="008C2A49">
        <w:trPr>
          <w:trHeight w:val="380"/>
        </w:trPr>
        <w:tc>
          <w:tcPr>
            <w:tcW w:w="7802" w:type="dxa"/>
            <w:gridSpan w:val="2"/>
            <w:tcBorders>
              <w:top w:val="single" w:sz="4" w:space="0" w:color="auto"/>
            </w:tcBorders>
            <w:shd w:val="clear" w:color="auto" w:fill="92D050"/>
          </w:tcPr>
          <w:p w14:paraId="60D35E68" w14:textId="77777777" w:rsidR="00765BBF" w:rsidRPr="00DE6502" w:rsidRDefault="00765BBF" w:rsidP="00B76149">
            <w:pPr>
              <w:tabs>
                <w:tab w:val="left" w:pos="515"/>
              </w:tabs>
              <w:spacing w:after="200" w:line="276" w:lineRule="auto"/>
              <w:contextualSpacing/>
              <w:rPr>
                <w:rFonts w:eastAsia="Calibri"/>
                <w:b/>
              </w:rPr>
            </w:pPr>
            <w:r w:rsidRPr="00DE6502">
              <w:rPr>
                <w:rFonts w:eastAsia="Calibri"/>
                <w:b/>
              </w:rPr>
              <w:t xml:space="preserve">4. </w:t>
            </w:r>
            <w:r w:rsidR="00B76149" w:rsidRPr="00DE6502">
              <w:rPr>
                <w:b/>
              </w:rPr>
              <w:t xml:space="preserve">Taotleja </w:t>
            </w:r>
            <w:r w:rsidR="004B3E3E" w:rsidRPr="00DE6502">
              <w:rPr>
                <w:b/>
              </w:rPr>
              <w:t>võimekus projekti ellu viia</w:t>
            </w:r>
          </w:p>
        </w:tc>
        <w:tc>
          <w:tcPr>
            <w:tcW w:w="1418" w:type="dxa"/>
            <w:gridSpan w:val="2"/>
            <w:tcBorders>
              <w:top w:val="single" w:sz="4" w:space="0" w:color="auto"/>
            </w:tcBorders>
            <w:shd w:val="clear" w:color="auto" w:fill="92D050"/>
          </w:tcPr>
          <w:p w14:paraId="60D35E69" w14:textId="77777777" w:rsidR="00765BBF" w:rsidRPr="00DE6502" w:rsidRDefault="00765BBF" w:rsidP="00752C0D">
            <w:pPr>
              <w:spacing w:after="200" w:line="276" w:lineRule="auto"/>
              <w:ind w:left="-354"/>
              <w:contextualSpacing/>
              <w:rPr>
                <w:rFonts w:eastAsia="Calibri"/>
                <w:b/>
              </w:rPr>
            </w:pPr>
            <w:r w:rsidRPr="00DE6502">
              <w:rPr>
                <w:rFonts w:eastAsia="Calibri"/>
                <w:b/>
              </w:rPr>
              <w:t>30 2</w:t>
            </w:r>
            <w:r w:rsidR="00752C0D" w:rsidRPr="00DE6502">
              <w:rPr>
                <w:rFonts w:eastAsia="Calibri"/>
                <w:b/>
              </w:rPr>
              <w:t>0</w:t>
            </w:r>
            <w:r w:rsidRPr="00DE6502">
              <w:rPr>
                <w:rFonts w:eastAsia="Calibri"/>
                <w:b/>
              </w:rPr>
              <w:t>%</w:t>
            </w:r>
          </w:p>
        </w:tc>
      </w:tr>
      <w:tr w:rsidR="0048098C" w:rsidRPr="00DE6502" w14:paraId="60D35E6C" w14:textId="77777777" w:rsidTr="008C2A49">
        <w:trPr>
          <w:trHeight w:val="380"/>
        </w:trPr>
        <w:tc>
          <w:tcPr>
            <w:tcW w:w="9220" w:type="dxa"/>
            <w:gridSpan w:val="4"/>
            <w:shd w:val="clear" w:color="auto" w:fill="92D050"/>
          </w:tcPr>
          <w:p w14:paraId="60D35E6B" w14:textId="77777777" w:rsidR="0048098C" w:rsidRPr="00DE6502" w:rsidRDefault="0048098C" w:rsidP="00DA07B6">
            <w:pPr>
              <w:spacing w:after="200" w:line="276" w:lineRule="auto"/>
              <w:ind w:firstLine="77"/>
              <w:contextualSpacing/>
              <w:rPr>
                <w:rFonts w:eastAsia="Calibri"/>
                <w:b/>
              </w:rPr>
            </w:pPr>
            <w:r w:rsidRPr="00DE6502">
              <w:rPr>
                <w:b/>
              </w:rPr>
              <w:t>Hinnatakse taotleja oskus</w:t>
            </w:r>
            <w:r w:rsidR="00F772B1" w:rsidRPr="00DE6502">
              <w:rPr>
                <w:b/>
              </w:rPr>
              <w:t>t</w:t>
            </w:r>
            <w:r w:rsidRPr="00DE6502">
              <w:rPr>
                <w:b/>
              </w:rPr>
              <w:t xml:space="preserve"> ja pädevus</w:t>
            </w:r>
            <w:r w:rsidR="00F772B1" w:rsidRPr="00DE6502">
              <w:rPr>
                <w:b/>
              </w:rPr>
              <w:t>t</w:t>
            </w:r>
            <w:r w:rsidRPr="00DE6502">
              <w:rPr>
                <w:b/>
              </w:rPr>
              <w:t xml:space="preserve"> ning riskide juhtimise võimekust</w:t>
            </w:r>
            <w:r w:rsidR="009319FC" w:rsidRPr="00DE6502">
              <w:rPr>
                <w:b/>
              </w:rPr>
              <w:t>.</w:t>
            </w:r>
          </w:p>
        </w:tc>
      </w:tr>
      <w:tr w:rsidR="00765BBF" w:rsidRPr="00DE6502" w14:paraId="60D35E6E" w14:textId="77777777" w:rsidTr="008C2A49">
        <w:trPr>
          <w:trHeight w:val="380"/>
        </w:trPr>
        <w:tc>
          <w:tcPr>
            <w:tcW w:w="9220" w:type="dxa"/>
            <w:gridSpan w:val="4"/>
            <w:shd w:val="clear" w:color="auto" w:fill="FFFF00"/>
          </w:tcPr>
          <w:p w14:paraId="60D35E6D" w14:textId="77777777" w:rsidR="00765BBF" w:rsidRPr="00DE6502" w:rsidRDefault="00765BBF" w:rsidP="00E660FE">
            <w:pPr>
              <w:pStyle w:val="ListParagraph"/>
              <w:ind w:left="0"/>
              <w:rPr>
                <w:rFonts w:ascii="Times New Roman" w:hAnsi="Times New Roman"/>
                <w:i/>
                <w:sz w:val="24"/>
                <w:szCs w:val="24"/>
              </w:rPr>
            </w:pPr>
            <w:r w:rsidRPr="00DE6502">
              <w:rPr>
                <w:rFonts w:ascii="Times New Roman" w:hAnsi="Times New Roman"/>
                <w:b/>
                <w:i/>
                <w:sz w:val="24"/>
                <w:szCs w:val="24"/>
              </w:rPr>
              <w:t xml:space="preserve">4.1. </w:t>
            </w:r>
            <w:r w:rsidR="004B3E3E" w:rsidRPr="00DE6502">
              <w:rPr>
                <w:rFonts w:ascii="Times New Roman" w:hAnsi="Times New Roman"/>
                <w:b/>
                <w:i/>
                <w:sz w:val="24"/>
                <w:szCs w:val="24"/>
              </w:rPr>
              <w:t xml:space="preserve">Finantssuutlikkus </w:t>
            </w:r>
            <w:r w:rsidR="004C4078" w:rsidRPr="00DE6502">
              <w:rPr>
                <w:rFonts w:ascii="Times New Roman" w:hAnsi="Times New Roman"/>
                <w:b/>
                <w:i/>
                <w:sz w:val="24"/>
                <w:szCs w:val="24"/>
              </w:rPr>
              <w:t>–</w:t>
            </w:r>
            <w:r w:rsidR="004B3E3E" w:rsidRPr="00DE6502">
              <w:rPr>
                <w:rFonts w:ascii="Times New Roman" w:hAnsi="Times New Roman"/>
                <w:b/>
                <w:i/>
                <w:sz w:val="24"/>
                <w:szCs w:val="24"/>
              </w:rPr>
              <w:t xml:space="preserve"> kui tekivad lisakulud</w:t>
            </w:r>
            <w:r w:rsidR="00F772B1" w:rsidRPr="00DE6502">
              <w:rPr>
                <w:rFonts w:ascii="Times New Roman" w:hAnsi="Times New Roman"/>
                <w:b/>
                <w:i/>
                <w:sz w:val="24"/>
                <w:szCs w:val="24"/>
              </w:rPr>
              <w:t>,</w:t>
            </w:r>
            <w:r w:rsidR="004B3E3E" w:rsidRPr="00DE6502">
              <w:rPr>
                <w:rFonts w:ascii="Times New Roman" w:hAnsi="Times New Roman"/>
                <w:b/>
                <w:i/>
                <w:sz w:val="24"/>
                <w:szCs w:val="24"/>
              </w:rPr>
              <w:t xml:space="preserve"> millega ei ole hankija eelarve koostamisel arvestanud</w:t>
            </w:r>
            <w:r w:rsidR="00942AFD" w:rsidRPr="00DE6502">
              <w:rPr>
                <w:rFonts w:ascii="Times New Roman" w:hAnsi="Times New Roman"/>
                <w:b/>
                <w:i/>
                <w:sz w:val="24"/>
                <w:szCs w:val="24"/>
              </w:rPr>
              <w:t>,</w:t>
            </w:r>
            <w:r w:rsidR="004B3E3E" w:rsidRPr="00DE6502">
              <w:rPr>
                <w:rFonts w:ascii="Times New Roman" w:hAnsi="Times New Roman"/>
                <w:b/>
                <w:i/>
                <w:sz w:val="24"/>
                <w:szCs w:val="24"/>
              </w:rPr>
              <w:t xml:space="preserve"> siis millistest allikatest need kaetakse? </w:t>
            </w:r>
            <w:r w:rsidR="00416FEF" w:rsidRPr="00DE6502">
              <w:rPr>
                <w:rFonts w:ascii="Times New Roman" w:hAnsi="Times New Roman"/>
                <w:b/>
                <w:bCs/>
                <w:i/>
                <w:color w:val="000000"/>
                <w:sz w:val="24"/>
                <w:szCs w:val="24"/>
              </w:rPr>
              <w:t xml:space="preserve">(osakaal </w:t>
            </w:r>
            <w:r w:rsidR="00E660FE" w:rsidRPr="00DE6502">
              <w:rPr>
                <w:rFonts w:ascii="Times New Roman" w:hAnsi="Times New Roman"/>
                <w:b/>
                <w:bCs/>
                <w:i/>
                <w:color w:val="000000"/>
                <w:sz w:val="24"/>
                <w:szCs w:val="24"/>
              </w:rPr>
              <w:t>8</w:t>
            </w:r>
            <w:r w:rsidR="00416FEF" w:rsidRPr="00DE6502">
              <w:rPr>
                <w:rFonts w:ascii="Times New Roman" w:hAnsi="Times New Roman"/>
                <w:b/>
                <w:bCs/>
                <w:i/>
                <w:color w:val="000000"/>
                <w:sz w:val="24"/>
                <w:szCs w:val="24"/>
              </w:rPr>
              <w:t xml:space="preserve">% kogu hindepunktide skaalast; </w:t>
            </w:r>
            <w:r w:rsidR="00E660FE" w:rsidRPr="00DE6502">
              <w:rPr>
                <w:rFonts w:ascii="Times New Roman" w:hAnsi="Times New Roman"/>
                <w:b/>
                <w:bCs/>
                <w:i/>
                <w:color w:val="000000"/>
                <w:sz w:val="24"/>
                <w:szCs w:val="24"/>
              </w:rPr>
              <w:t>4</w:t>
            </w:r>
            <w:r w:rsidR="00416FEF" w:rsidRPr="00DE6502">
              <w:rPr>
                <w:rFonts w:ascii="Times New Roman" w:hAnsi="Times New Roman"/>
                <w:b/>
                <w:bCs/>
                <w:i/>
                <w:color w:val="000000"/>
                <w:sz w:val="24"/>
                <w:szCs w:val="24"/>
              </w:rPr>
              <w:t xml:space="preserve">0% </w:t>
            </w:r>
            <w:r w:rsidR="00752C0D" w:rsidRPr="00DE6502">
              <w:rPr>
                <w:rFonts w:ascii="Times New Roman" w:hAnsi="Times New Roman"/>
                <w:b/>
                <w:bCs/>
                <w:i/>
                <w:color w:val="000000"/>
                <w:sz w:val="24"/>
                <w:szCs w:val="24"/>
              </w:rPr>
              <w:t>4</w:t>
            </w:r>
            <w:r w:rsidR="00416FEF" w:rsidRPr="00DE6502">
              <w:rPr>
                <w:rFonts w:ascii="Times New Roman" w:hAnsi="Times New Roman"/>
                <w:b/>
                <w:bCs/>
                <w:i/>
                <w:color w:val="000000"/>
                <w:sz w:val="24"/>
                <w:szCs w:val="24"/>
              </w:rPr>
              <w:t>. alapunkti kogumäärast)</w:t>
            </w:r>
          </w:p>
        </w:tc>
      </w:tr>
      <w:tr w:rsidR="00765BBF" w:rsidRPr="00DE6502" w14:paraId="60D35E71"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5E6F" w14:textId="77777777" w:rsidR="00765BBF" w:rsidRPr="00DE6502" w:rsidRDefault="00765BBF" w:rsidP="00DC7B02">
            <w:pPr>
              <w:jc w:val="center"/>
              <w:rPr>
                <w:color w:val="000000"/>
              </w:rPr>
            </w:pPr>
            <w:r w:rsidRPr="00DE6502">
              <w:rPr>
                <w:color w:val="000000"/>
              </w:rPr>
              <w:lastRenderedPageBreak/>
              <w:t>4</w:t>
            </w:r>
          </w:p>
        </w:tc>
        <w:tc>
          <w:tcPr>
            <w:tcW w:w="8440" w:type="dxa"/>
            <w:gridSpan w:val="3"/>
            <w:tcBorders>
              <w:top w:val="single" w:sz="4" w:space="0" w:color="auto"/>
              <w:left w:val="nil"/>
              <w:bottom w:val="single" w:sz="4" w:space="0" w:color="auto"/>
              <w:right w:val="single" w:sz="4" w:space="0" w:color="auto"/>
            </w:tcBorders>
            <w:shd w:val="clear" w:color="auto" w:fill="auto"/>
            <w:vAlign w:val="bottom"/>
            <w:hideMark/>
          </w:tcPr>
          <w:p w14:paraId="60D35E70" w14:textId="77777777" w:rsidR="00765BBF" w:rsidRPr="00DE6502" w:rsidRDefault="004B3E3E" w:rsidP="00DC7B02">
            <w:pPr>
              <w:rPr>
                <w:color w:val="000000"/>
              </w:rPr>
            </w:pPr>
            <w:r w:rsidRPr="00DE6502">
              <w:rPr>
                <w:color w:val="000000"/>
              </w:rPr>
              <w:t>Lisakulud on finantseeritavad hankija enda eelarvest (sh laenu võtmine). Lisavahendite planeerimise protsess on põhjalikult kirjeldatud ja realistlik.</w:t>
            </w:r>
          </w:p>
        </w:tc>
      </w:tr>
      <w:tr w:rsidR="00765BBF" w:rsidRPr="00DE6502" w14:paraId="60D35E74"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72" w14:textId="77777777" w:rsidR="00765BBF" w:rsidRPr="00DE6502" w:rsidRDefault="00765BBF"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73" w14:textId="77777777" w:rsidR="00765BBF" w:rsidRPr="00DE6502" w:rsidRDefault="00765BBF" w:rsidP="00DC7B02">
            <w:pPr>
              <w:jc w:val="center"/>
              <w:rPr>
                <w:color w:val="000000"/>
              </w:rPr>
            </w:pPr>
            <w:r w:rsidRPr="00DE6502">
              <w:rPr>
                <w:color w:val="000000"/>
              </w:rPr>
              <w:t>Vahepealne hinnang</w:t>
            </w:r>
          </w:p>
        </w:tc>
      </w:tr>
      <w:tr w:rsidR="00765BBF" w:rsidRPr="00DE6502" w14:paraId="60D35E77"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75" w14:textId="77777777" w:rsidR="00765BBF" w:rsidRPr="00DE6502" w:rsidRDefault="00765BBF"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76" w14:textId="77777777" w:rsidR="00765BBF" w:rsidRPr="00DE6502" w:rsidRDefault="004B3E3E" w:rsidP="00DC7B02">
            <w:pPr>
              <w:rPr>
                <w:color w:val="000000"/>
              </w:rPr>
            </w:pPr>
            <w:r w:rsidRPr="00DE6502">
              <w:rPr>
                <w:color w:val="000000"/>
              </w:rPr>
              <w:t xml:space="preserve">Lisakulud on </w:t>
            </w:r>
            <w:r w:rsidR="002464A7" w:rsidRPr="00DE6502">
              <w:rPr>
                <w:color w:val="000000"/>
              </w:rPr>
              <w:t>väiksemas osas</w:t>
            </w:r>
            <w:r w:rsidRPr="00DE6502">
              <w:rPr>
                <w:color w:val="000000"/>
              </w:rPr>
              <w:t xml:space="preserve"> finantseeritavad hankija enda eelarvest (sh laenu võtmine), ülejäänu muudest allikatest või täielikult muudest allikatest (vabariigi valitsuse reserv vms). Lisavahendite planeerimise protsess on kirjeldatud ja realistlik</w:t>
            </w:r>
            <w:r w:rsidR="002464A7" w:rsidRPr="00DE6502">
              <w:rPr>
                <w:color w:val="000000"/>
              </w:rPr>
              <w:t>, lisaraha saamise võimalus on 100% või selle lähedane</w:t>
            </w:r>
          </w:p>
        </w:tc>
      </w:tr>
      <w:tr w:rsidR="00765BBF" w:rsidRPr="00DE6502" w14:paraId="60D35E7A"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78" w14:textId="77777777" w:rsidR="00765BBF" w:rsidRPr="00DE6502" w:rsidRDefault="00765BBF"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79" w14:textId="77777777" w:rsidR="00765BBF" w:rsidRPr="00DE6502" w:rsidRDefault="00765BBF" w:rsidP="00DC7B02">
            <w:pPr>
              <w:jc w:val="center"/>
              <w:rPr>
                <w:color w:val="000000"/>
              </w:rPr>
            </w:pPr>
            <w:r w:rsidRPr="00DE6502">
              <w:rPr>
                <w:color w:val="000000"/>
              </w:rPr>
              <w:t>Vahepealne hinnang</w:t>
            </w:r>
          </w:p>
        </w:tc>
      </w:tr>
      <w:tr w:rsidR="00765BBF" w:rsidRPr="00DE6502" w14:paraId="60D35E7D"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7B" w14:textId="77777777" w:rsidR="00765BBF" w:rsidRPr="00DE6502" w:rsidRDefault="00765BBF" w:rsidP="00DC7B02">
            <w:pPr>
              <w:jc w:val="center"/>
              <w:rPr>
                <w:color w:val="000000"/>
              </w:rPr>
            </w:pPr>
            <w:r w:rsidRPr="00DE6502">
              <w:rPr>
                <w:color w:val="000000"/>
              </w:rPr>
              <w:t>0</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7C" w14:textId="77777777" w:rsidR="00765BBF" w:rsidRPr="00DE6502" w:rsidRDefault="004B3E3E" w:rsidP="00DC7B02">
            <w:pPr>
              <w:rPr>
                <w:color w:val="000000"/>
              </w:rPr>
            </w:pPr>
            <w:r w:rsidRPr="00DE6502">
              <w:rPr>
                <w:color w:val="000000"/>
              </w:rPr>
              <w:t xml:space="preserve">Lisakulud on finantseeritavad </w:t>
            </w:r>
            <w:r w:rsidR="002464A7" w:rsidRPr="00DE6502">
              <w:rPr>
                <w:color w:val="000000"/>
              </w:rPr>
              <w:t xml:space="preserve">ainult </w:t>
            </w:r>
            <w:r w:rsidRPr="00DE6502">
              <w:rPr>
                <w:color w:val="000000"/>
              </w:rPr>
              <w:t>muudest allikatest peale enda eelarve või täielikult muudest allikatest. Lisavahendite planeerimise protsess on kirjeldatud kirjeldatud puudulik</w:t>
            </w:r>
            <w:r w:rsidR="002464A7" w:rsidRPr="00DE6502">
              <w:rPr>
                <w:color w:val="000000"/>
              </w:rPr>
              <w:t>u</w:t>
            </w:r>
            <w:r w:rsidRPr="00DE6502">
              <w:rPr>
                <w:color w:val="000000"/>
              </w:rPr>
              <w:t>lt või puudub</w:t>
            </w:r>
            <w:r w:rsidR="002464A7" w:rsidRPr="00DE6502">
              <w:rPr>
                <w:color w:val="000000"/>
              </w:rPr>
              <w:t xml:space="preserve">; lisaraha saamise võimalus on oluliselt väiksem kui 100% </w:t>
            </w:r>
          </w:p>
        </w:tc>
      </w:tr>
      <w:tr w:rsidR="00765BBF" w:rsidRPr="00DE6502" w14:paraId="60D35E7F" w14:textId="77777777" w:rsidTr="008C2A49">
        <w:trPr>
          <w:trHeight w:val="380"/>
        </w:trPr>
        <w:tc>
          <w:tcPr>
            <w:tcW w:w="9220" w:type="dxa"/>
            <w:gridSpan w:val="4"/>
            <w:shd w:val="clear" w:color="auto" w:fill="FFFF00"/>
          </w:tcPr>
          <w:p w14:paraId="60D35E7E" w14:textId="77777777" w:rsidR="00765BBF" w:rsidRPr="00DE6502" w:rsidRDefault="00765BBF" w:rsidP="00E660FE">
            <w:pPr>
              <w:pStyle w:val="ListParagraph"/>
              <w:ind w:left="0"/>
              <w:rPr>
                <w:rFonts w:ascii="Times New Roman" w:hAnsi="Times New Roman"/>
                <w:sz w:val="24"/>
                <w:szCs w:val="24"/>
              </w:rPr>
            </w:pPr>
            <w:r w:rsidRPr="00DE6502">
              <w:rPr>
                <w:rFonts w:ascii="Times New Roman" w:hAnsi="Times New Roman"/>
                <w:b/>
                <w:i/>
                <w:sz w:val="24"/>
                <w:szCs w:val="24"/>
              </w:rPr>
              <w:t xml:space="preserve">4.2. </w:t>
            </w:r>
            <w:r w:rsidR="002464A7" w:rsidRPr="00DE6502">
              <w:rPr>
                <w:rFonts w:ascii="Times New Roman" w:hAnsi="Times New Roman"/>
                <w:b/>
                <w:i/>
                <w:sz w:val="24"/>
                <w:szCs w:val="24"/>
              </w:rPr>
              <w:t xml:space="preserve">Riskide haldamine </w:t>
            </w:r>
            <w:r w:rsidR="00942AFD" w:rsidRPr="00DE6502">
              <w:rPr>
                <w:rFonts w:ascii="Times New Roman" w:hAnsi="Times New Roman"/>
                <w:b/>
                <w:i/>
                <w:sz w:val="24"/>
                <w:szCs w:val="24"/>
              </w:rPr>
              <w:t>–</w:t>
            </w:r>
            <w:r w:rsidR="002464A7" w:rsidRPr="00DE6502">
              <w:rPr>
                <w:rFonts w:ascii="Times New Roman" w:hAnsi="Times New Roman"/>
                <w:b/>
                <w:i/>
                <w:sz w:val="24"/>
                <w:szCs w:val="24"/>
              </w:rPr>
              <w:t xml:space="preserve"> kas võimalikud eelnevalt teadaolevad riskid on identifitseeritud ning kas paigas on metoodika/protsess</w:t>
            </w:r>
            <w:r w:rsidR="00942AFD" w:rsidRPr="00DE6502">
              <w:rPr>
                <w:rFonts w:ascii="Times New Roman" w:hAnsi="Times New Roman"/>
                <w:b/>
                <w:i/>
                <w:sz w:val="24"/>
                <w:szCs w:val="24"/>
              </w:rPr>
              <w:t>,</w:t>
            </w:r>
            <w:r w:rsidR="002464A7" w:rsidRPr="00DE6502">
              <w:rPr>
                <w:rFonts w:ascii="Times New Roman" w:hAnsi="Times New Roman"/>
                <w:b/>
                <w:i/>
                <w:sz w:val="24"/>
                <w:szCs w:val="24"/>
              </w:rPr>
              <w:t xml:space="preserve"> kuidas </w:t>
            </w:r>
            <w:r w:rsidR="00942AFD" w:rsidRPr="00DE6502">
              <w:rPr>
                <w:rFonts w:ascii="Times New Roman" w:hAnsi="Times New Roman"/>
                <w:b/>
                <w:i/>
                <w:sz w:val="24"/>
                <w:szCs w:val="24"/>
              </w:rPr>
              <w:t xml:space="preserve">projekti käigus ilmneda </w:t>
            </w:r>
            <w:r w:rsidR="002464A7" w:rsidRPr="00DE6502">
              <w:rPr>
                <w:rFonts w:ascii="Times New Roman" w:hAnsi="Times New Roman"/>
                <w:b/>
                <w:i/>
                <w:sz w:val="24"/>
                <w:szCs w:val="24"/>
              </w:rPr>
              <w:t xml:space="preserve">võivad riskid piisavalt vara tuvastada ja maandada? </w:t>
            </w:r>
            <w:r w:rsidR="00752C0D" w:rsidRPr="00DE6502">
              <w:rPr>
                <w:rFonts w:ascii="Times New Roman" w:hAnsi="Times New Roman"/>
                <w:b/>
                <w:bCs/>
                <w:i/>
                <w:color w:val="000000"/>
                <w:sz w:val="24"/>
                <w:szCs w:val="24"/>
              </w:rPr>
              <w:t xml:space="preserve">(osakaal </w:t>
            </w:r>
            <w:r w:rsidR="00E660FE" w:rsidRPr="00DE6502">
              <w:rPr>
                <w:rFonts w:ascii="Times New Roman" w:hAnsi="Times New Roman"/>
                <w:b/>
                <w:bCs/>
                <w:i/>
                <w:color w:val="000000"/>
                <w:sz w:val="24"/>
                <w:szCs w:val="24"/>
              </w:rPr>
              <w:t>4</w:t>
            </w:r>
            <w:r w:rsidR="00752C0D" w:rsidRPr="00DE6502">
              <w:rPr>
                <w:rFonts w:ascii="Times New Roman" w:hAnsi="Times New Roman"/>
                <w:b/>
                <w:bCs/>
                <w:i/>
                <w:color w:val="000000"/>
                <w:sz w:val="24"/>
                <w:szCs w:val="24"/>
              </w:rPr>
              <w:t>% kogu hindepunktide skaalast; 2</w:t>
            </w:r>
            <w:r w:rsidR="00E660FE" w:rsidRPr="00DE6502">
              <w:rPr>
                <w:rFonts w:ascii="Times New Roman" w:hAnsi="Times New Roman"/>
                <w:b/>
                <w:bCs/>
                <w:i/>
                <w:color w:val="000000"/>
                <w:sz w:val="24"/>
                <w:szCs w:val="24"/>
              </w:rPr>
              <w:t>0</w:t>
            </w:r>
            <w:r w:rsidR="00752C0D" w:rsidRPr="00DE6502">
              <w:rPr>
                <w:rFonts w:ascii="Times New Roman" w:hAnsi="Times New Roman"/>
                <w:b/>
                <w:bCs/>
                <w:i/>
                <w:color w:val="000000"/>
                <w:sz w:val="24"/>
                <w:szCs w:val="24"/>
              </w:rPr>
              <w:t>% 4. alapunkti kogumäärast)</w:t>
            </w:r>
          </w:p>
        </w:tc>
      </w:tr>
      <w:tr w:rsidR="00765BBF" w:rsidRPr="00DE6502" w14:paraId="60D35E82"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5E80" w14:textId="77777777" w:rsidR="00765BBF" w:rsidRPr="00DE6502" w:rsidRDefault="00765BBF" w:rsidP="00DC7B02">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vAlign w:val="bottom"/>
            <w:hideMark/>
          </w:tcPr>
          <w:p w14:paraId="60D35E81" w14:textId="77777777" w:rsidR="00765BBF" w:rsidRPr="00DE6502" w:rsidRDefault="002464A7" w:rsidP="009B4290">
            <w:pPr>
              <w:rPr>
                <w:color w:val="000000"/>
              </w:rPr>
            </w:pPr>
            <w:r w:rsidRPr="00DE6502">
              <w:rPr>
                <w:color w:val="000000"/>
              </w:rPr>
              <w:t>Võimalikud riskid on ammendavalt tuvastatud ja kirjeldatud, vastavalt on lisatud nende maandamise metoodika ja protsess</w:t>
            </w:r>
            <w:r w:rsidR="00942AFD" w:rsidRPr="00DE6502">
              <w:rPr>
                <w:color w:val="000000"/>
              </w:rPr>
              <w:t>.</w:t>
            </w:r>
          </w:p>
        </w:tc>
      </w:tr>
      <w:tr w:rsidR="00765BBF" w:rsidRPr="00DE6502" w14:paraId="60D35E85"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83" w14:textId="77777777" w:rsidR="00765BBF" w:rsidRPr="00DE6502" w:rsidRDefault="00765BBF"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84" w14:textId="77777777" w:rsidR="00765BBF" w:rsidRPr="00DE6502" w:rsidRDefault="00765BBF" w:rsidP="00DC7B02">
            <w:pPr>
              <w:jc w:val="center"/>
              <w:rPr>
                <w:color w:val="000000"/>
              </w:rPr>
            </w:pPr>
            <w:r w:rsidRPr="00DE6502">
              <w:rPr>
                <w:color w:val="000000"/>
              </w:rPr>
              <w:t>Vahepealne hinnang</w:t>
            </w:r>
          </w:p>
        </w:tc>
      </w:tr>
      <w:tr w:rsidR="00765BBF" w:rsidRPr="00DE6502" w14:paraId="60D35E88"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D35E86" w14:textId="77777777" w:rsidR="00765BBF" w:rsidRPr="00DE6502" w:rsidRDefault="00765BBF"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87" w14:textId="77777777" w:rsidR="00765BBF" w:rsidRPr="00DE6502" w:rsidRDefault="002464A7" w:rsidP="009B4290">
            <w:pPr>
              <w:rPr>
                <w:color w:val="000000"/>
              </w:rPr>
            </w:pPr>
            <w:r w:rsidRPr="00DE6502">
              <w:rPr>
                <w:color w:val="000000"/>
              </w:rPr>
              <w:t>Võimalikud riskid on tuvastatud ja kirjeldatud, vastavalt on lisatud nende maandamise metoodika ja protsess</w:t>
            </w:r>
            <w:r w:rsidR="00942AFD" w:rsidRPr="00DE6502">
              <w:rPr>
                <w:color w:val="000000"/>
              </w:rPr>
              <w:t>.</w:t>
            </w:r>
          </w:p>
        </w:tc>
      </w:tr>
      <w:tr w:rsidR="00765BBF" w:rsidRPr="00DE6502" w14:paraId="60D35E8B"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89" w14:textId="77777777" w:rsidR="00765BBF" w:rsidRPr="00DE6502" w:rsidRDefault="00765BBF"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8A" w14:textId="77777777" w:rsidR="00765BBF" w:rsidRPr="00DE6502" w:rsidRDefault="00765BBF" w:rsidP="00DC7B02">
            <w:pPr>
              <w:jc w:val="center"/>
              <w:rPr>
                <w:color w:val="000000"/>
              </w:rPr>
            </w:pPr>
            <w:r w:rsidRPr="00DE6502">
              <w:rPr>
                <w:color w:val="000000"/>
              </w:rPr>
              <w:t>Vahepealne hinnang</w:t>
            </w:r>
          </w:p>
        </w:tc>
      </w:tr>
      <w:tr w:rsidR="00765BBF" w:rsidRPr="00DE6502" w14:paraId="60D35E8E"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D35E8C" w14:textId="77777777" w:rsidR="00765BBF" w:rsidRPr="00DE6502" w:rsidRDefault="00765BBF" w:rsidP="00DC7B02">
            <w:pPr>
              <w:jc w:val="center"/>
              <w:rPr>
                <w:color w:val="000000"/>
              </w:rPr>
            </w:pPr>
            <w:r w:rsidRPr="00DE6502">
              <w:rPr>
                <w:color w:val="000000"/>
              </w:rPr>
              <w:t>0</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8D" w14:textId="77777777" w:rsidR="00765BBF" w:rsidRPr="00DE6502" w:rsidRDefault="002464A7" w:rsidP="009B4290">
            <w:pPr>
              <w:rPr>
                <w:color w:val="000000"/>
              </w:rPr>
            </w:pPr>
            <w:r w:rsidRPr="00DE6502">
              <w:rPr>
                <w:color w:val="000000"/>
              </w:rPr>
              <w:t>Võimalikud riskid on puudulikult tuvastatud ja kirjeldatud, osaliselt on lisatud nende maandamise metoodika ja protsess või on see puudu</w:t>
            </w:r>
            <w:r w:rsidR="00942AFD" w:rsidRPr="00DE6502">
              <w:rPr>
                <w:color w:val="000000"/>
              </w:rPr>
              <w:t>.</w:t>
            </w:r>
          </w:p>
        </w:tc>
      </w:tr>
      <w:tr w:rsidR="002464A7" w:rsidRPr="00DE6502" w14:paraId="60D35E90" w14:textId="77777777" w:rsidTr="008C2A49">
        <w:trPr>
          <w:trHeight w:val="380"/>
        </w:trPr>
        <w:tc>
          <w:tcPr>
            <w:tcW w:w="9220" w:type="dxa"/>
            <w:gridSpan w:val="4"/>
            <w:shd w:val="clear" w:color="auto" w:fill="FFFF00"/>
          </w:tcPr>
          <w:p w14:paraId="60D35E8F" w14:textId="77777777" w:rsidR="002464A7" w:rsidRPr="00DE6502" w:rsidRDefault="002464A7" w:rsidP="00DA07B6">
            <w:pPr>
              <w:pStyle w:val="ListParagraph"/>
              <w:ind w:left="0"/>
              <w:rPr>
                <w:rFonts w:ascii="Times New Roman" w:hAnsi="Times New Roman"/>
                <w:b/>
                <w:i/>
                <w:sz w:val="24"/>
                <w:szCs w:val="24"/>
              </w:rPr>
            </w:pPr>
            <w:r w:rsidRPr="00DE6502">
              <w:rPr>
                <w:rFonts w:ascii="Times New Roman" w:hAnsi="Times New Roman"/>
                <w:b/>
                <w:i/>
                <w:sz w:val="24"/>
                <w:szCs w:val="24"/>
              </w:rPr>
              <w:t xml:space="preserve">4.3. Hankemeeskonna komplekteeritus, st kas kõik vajalikud valdkonnad on kaetud piisava kvalifikatsiooniga meeskonnaga </w:t>
            </w:r>
            <w:r w:rsidR="00752C0D" w:rsidRPr="00DE6502">
              <w:rPr>
                <w:rFonts w:ascii="Times New Roman" w:hAnsi="Times New Roman"/>
                <w:b/>
                <w:bCs/>
                <w:i/>
                <w:color w:val="000000"/>
                <w:sz w:val="24"/>
                <w:szCs w:val="24"/>
              </w:rPr>
              <w:t xml:space="preserve">(osakaal </w:t>
            </w:r>
            <w:r w:rsidR="00E660FE" w:rsidRPr="00DE6502">
              <w:rPr>
                <w:rFonts w:ascii="Times New Roman" w:hAnsi="Times New Roman"/>
                <w:b/>
                <w:bCs/>
                <w:i/>
                <w:color w:val="000000"/>
                <w:sz w:val="24"/>
                <w:szCs w:val="24"/>
              </w:rPr>
              <w:t>8</w:t>
            </w:r>
            <w:r w:rsidR="00752C0D" w:rsidRPr="00DE6502">
              <w:rPr>
                <w:rFonts w:ascii="Times New Roman" w:hAnsi="Times New Roman"/>
                <w:b/>
                <w:bCs/>
                <w:i/>
                <w:color w:val="000000"/>
                <w:sz w:val="24"/>
                <w:szCs w:val="24"/>
              </w:rPr>
              <w:t xml:space="preserve">% kogu hindepunktide skaalast; </w:t>
            </w:r>
            <w:r w:rsidR="00E660FE" w:rsidRPr="00DE6502">
              <w:rPr>
                <w:rFonts w:ascii="Times New Roman" w:hAnsi="Times New Roman"/>
                <w:b/>
                <w:bCs/>
                <w:i/>
                <w:color w:val="000000"/>
                <w:sz w:val="24"/>
                <w:szCs w:val="24"/>
              </w:rPr>
              <w:t>40</w:t>
            </w:r>
            <w:r w:rsidR="00752C0D" w:rsidRPr="00DE6502">
              <w:rPr>
                <w:rFonts w:ascii="Times New Roman" w:hAnsi="Times New Roman"/>
                <w:b/>
                <w:bCs/>
                <w:i/>
                <w:color w:val="000000"/>
                <w:sz w:val="24"/>
                <w:szCs w:val="24"/>
              </w:rPr>
              <w:t>% 4. alapunkti kogumäärast)</w:t>
            </w:r>
          </w:p>
        </w:tc>
      </w:tr>
      <w:tr w:rsidR="002464A7" w:rsidRPr="00DE6502" w14:paraId="60D35E93"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5E91" w14:textId="77777777" w:rsidR="002464A7" w:rsidRPr="00DE6502" w:rsidRDefault="002464A7" w:rsidP="00DC7B02">
            <w:pPr>
              <w:jc w:val="center"/>
              <w:rPr>
                <w:color w:val="000000"/>
              </w:rPr>
            </w:pPr>
            <w:r w:rsidRPr="00DE6502">
              <w:rPr>
                <w:color w:val="000000"/>
              </w:rPr>
              <w:t>4</w:t>
            </w:r>
          </w:p>
        </w:tc>
        <w:tc>
          <w:tcPr>
            <w:tcW w:w="8440" w:type="dxa"/>
            <w:gridSpan w:val="3"/>
            <w:tcBorders>
              <w:top w:val="single" w:sz="4" w:space="0" w:color="auto"/>
              <w:left w:val="nil"/>
              <w:bottom w:val="single" w:sz="4" w:space="0" w:color="auto"/>
              <w:right w:val="single" w:sz="4" w:space="0" w:color="auto"/>
            </w:tcBorders>
            <w:shd w:val="clear" w:color="auto" w:fill="auto"/>
            <w:vAlign w:val="bottom"/>
            <w:hideMark/>
          </w:tcPr>
          <w:p w14:paraId="60D35E92" w14:textId="77777777" w:rsidR="002464A7" w:rsidRPr="00DE6502" w:rsidRDefault="002464A7" w:rsidP="00383C54">
            <w:pPr>
              <w:rPr>
                <w:color w:val="000000"/>
              </w:rPr>
            </w:pPr>
            <w:r w:rsidRPr="00DE6502">
              <w:rPr>
                <w:color w:val="000000"/>
              </w:rPr>
              <w:t xml:space="preserve">Taotleja võtmeisikud, sh oma personal, tagab projekti </w:t>
            </w:r>
            <w:r w:rsidR="00383C54" w:rsidRPr="00DE6502">
              <w:rPr>
                <w:color w:val="000000"/>
              </w:rPr>
              <w:t>kõrge</w:t>
            </w:r>
            <w:r w:rsidRPr="00DE6502">
              <w:rPr>
                <w:color w:val="000000"/>
              </w:rPr>
              <w:t>kvaliteediliseks elluviimiseks piisava võimekuse</w:t>
            </w:r>
            <w:r w:rsidR="00942AFD" w:rsidRPr="00DE6502">
              <w:rPr>
                <w:color w:val="000000"/>
              </w:rPr>
              <w:t>.</w:t>
            </w:r>
          </w:p>
        </w:tc>
      </w:tr>
      <w:tr w:rsidR="002464A7" w:rsidRPr="00DE6502" w14:paraId="60D35E96"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94" w14:textId="77777777" w:rsidR="002464A7" w:rsidRPr="00DE6502" w:rsidRDefault="002464A7" w:rsidP="00DC7B02">
            <w:pPr>
              <w:jc w:val="center"/>
              <w:rPr>
                <w:color w:val="000000"/>
              </w:rPr>
            </w:pPr>
            <w:r w:rsidRPr="00DE6502">
              <w:rPr>
                <w:color w:val="000000"/>
              </w:rPr>
              <w:t>3</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95" w14:textId="77777777" w:rsidR="002464A7" w:rsidRPr="00DE6502" w:rsidRDefault="002464A7" w:rsidP="00DC7B02">
            <w:pPr>
              <w:jc w:val="center"/>
              <w:rPr>
                <w:color w:val="000000"/>
              </w:rPr>
            </w:pPr>
            <w:r w:rsidRPr="00DE6502">
              <w:rPr>
                <w:color w:val="000000"/>
              </w:rPr>
              <w:t>Vahepealne hinnang</w:t>
            </w:r>
          </w:p>
        </w:tc>
      </w:tr>
      <w:tr w:rsidR="002464A7" w:rsidRPr="00DE6502" w14:paraId="60D35E99"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D35E97" w14:textId="77777777" w:rsidR="002464A7" w:rsidRPr="00DE6502" w:rsidRDefault="002464A7" w:rsidP="00DC7B02">
            <w:pPr>
              <w:jc w:val="center"/>
              <w:rPr>
                <w:color w:val="000000"/>
              </w:rPr>
            </w:pPr>
            <w:r w:rsidRPr="00DE6502">
              <w:rPr>
                <w:color w:val="000000"/>
              </w:rPr>
              <w:t>2</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98" w14:textId="77777777" w:rsidR="002464A7" w:rsidRPr="00DE6502" w:rsidRDefault="002464A7" w:rsidP="009B4290">
            <w:pPr>
              <w:rPr>
                <w:color w:val="000000"/>
              </w:rPr>
            </w:pPr>
            <w:r w:rsidRPr="00DE6502">
              <w:rPr>
                <w:color w:val="000000"/>
              </w:rPr>
              <w:t>Taotleja võtmeisikud, sh oma personal, tagab projekti elluviimiseks piisava võimekuse</w:t>
            </w:r>
            <w:r w:rsidR="00942AFD" w:rsidRPr="00DE6502">
              <w:rPr>
                <w:color w:val="000000"/>
              </w:rPr>
              <w:t>.</w:t>
            </w:r>
          </w:p>
        </w:tc>
      </w:tr>
      <w:tr w:rsidR="002464A7" w:rsidRPr="00DE6502" w14:paraId="60D35E9C"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D35E9A" w14:textId="77777777" w:rsidR="002464A7" w:rsidRPr="00DE6502" w:rsidRDefault="002464A7" w:rsidP="00DC7B02">
            <w:pPr>
              <w:jc w:val="center"/>
              <w:rPr>
                <w:color w:val="000000"/>
              </w:rPr>
            </w:pPr>
            <w:r w:rsidRPr="00DE6502">
              <w:rPr>
                <w:color w:val="000000"/>
              </w:rPr>
              <w:t>1</w:t>
            </w:r>
          </w:p>
        </w:tc>
        <w:tc>
          <w:tcPr>
            <w:tcW w:w="8440" w:type="dxa"/>
            <w:gridSpan w:val="3"/>
            <w:tcBorders>
              <w:top w:val="nil"/>
              <w:left w:val="nil"/>
              <w:bottom w:val="single" w:sz="4" w:space="0" w:color="auto"/>
              <w:right w:val="single" w:sz="4" w:space="0" w:color="auto"/>
            </w:tcBorders>
            <w:shd w:val="clear" w:color="auto" w:fill="auto"/>
            <w:noWrap/>
            <w:vAlign w:val="bottom"/>
            <w:hideMark/>
          </w:tcPr>
          <w:p w14:paraId="60D35E9B" w14:textId="77777777" w:rsidR="002464A7" w:rsidRPr="00DE6502" w:rsidRDefault="002464A7" w:rsidP="00DC7B02">
            <w:pPr>
              <w:jc w:val="center"/>
              <w:rPr>
                <w:color w:val="000000"/>
              </w:rPr>
            </w:pPr>
            <w:r w:rsidRPr="00DE6502">
              <w:rPr>
                <w:color w:val="000000"/>
              </w:rPr>
              <w:t>Vahepealne hinnang</w:t>
            </w:r>
          </w:p>
        </w:tc>
      </w:tr>
      <w:tr w:rsidR="002464A7" w:rsidRPr="00DE6502" w14:paraId="60D35E9F" w14:textId="77777777" w:rsidTr="008C2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0D35E9D" w14:textId="77777777" w:rsidR="002464A7" w:rsidRPr="00DE6502" w:rsidRDefault="002464A7" w:rsidP="00DC7B02">
            <w:pPr>
              <w:jc w:val="center"/>
              <w:rPr>
                <w:color w:val="000000"/>
              </w:rPr>
            </w:pPr>
            <w:r w:rsidRPr="00DE6502">
              <w:rPr>
                <w:color w:val="000000"/>
              </w:rPr>
              <w:t>0</w:t>
            </w:r>
          </w:p>
        </w:tc>
        <w:tc>
          <w:tcPr>
            <w:tcW w:w="8440" w:type="dxa"/>
            <w:gridSpan w:val="3"/>
            <w:tcBorders>
              <w:top w:val="nil"/>
              <w:left w:val="nil"/>
              <w:bottom w:val="single" w:sz="4" w:space="0" w:color="auto"/>
              <w:right w:val="single" w:sz="4" w:space="0" w:color="auto"/>
            </w:tcBorders>
            <w:shd w:val="clear" w:color="auto" w:fill="auto"/>
            <w:vAlign w:val="bottom"/>
            <w:hideMark/>
          </w:tcPr>
          <w:p w14:paraId="60D35E9E" w14:textId="77777777" w:rsidR="002464A7" w:rsidRPr="00DE6502" w:rsidRDefault="002464A7" w:rsidP="009B4290">
            <w:pPr>
              <w:rPr>
                <w:color w:val="000000"/>
              </w:rPr>
            </w:pPr>
            <w:r w:rsidRPr="00DE6502">
              <w:rPr>
                <w:color w:val="000000"/>
              </w:rPr>
              <w:t>Taotleja võtmeisikud, sh oma personal, ei taga projekti elluviimiseks piisavat võimekuset</w:t>
            </w:r>
            <w:r w:rsidR="00942AFD" w:rsidRPr="00DE6502">
              <w:rPr>
                <w:color w:val="000000"/>
              </w:rPr>
              <w:t>.</w:t>
            </w:r>
          </w:p>
        </w:tc>
      </w:tr>
    </w:tbl>
    <w:p w14:paraId="60D35EA0" w14:textId="77777777" w:rsidR="00022A49" w:rsidRPr="00DE6502" w:rsidRDefault="00022A49" w:rsidP="00DC7B02">
      <w:pPr>
        <w:spacing w:line="276" w:lineRule="auto"/>
        <w:rPr>
          <w:rFonts w:eastAsia="Calibri"/>
        </w:rPr>
      </w:pPr>
    </w:p>
    <w:p w14:paraId="60D35EA1" w14:textId="77777777" w:rsidR="00022A49" w:rsidRPr="00DE6502" w:rsidRDefault="00022A49" w:rsidP="00DC7B02">
      <w:pPr>
        <w:spacing w:after="200" w:line="276" w:lineRule="auto"/>
        <w:rPr>
          <w:rFonts w:eastAsia="Calibri"/>
          <w:b/>
        </w:rPr>
      </w:pPr>
    </w:p>
    <w:sectPr w:rsidR="00022A49" w:rsidRPr="00DE6502" w:rsidSect="00240CC3">
      <w:headerReference w:type="even" r:id="rId12"/>
      <w:headerReference w:type="default" r:id="rId13"/>
      <w:footerReference w:type="even" r:id="rId14"/>
      <w:footerReference w:type="default" r:id="rId15"/>
      <w:headerReference w:type="first" r:id="rId16"/>
      <w:pgSz w:w="11906" w:h="16838"/>
      <w:pgMar w:top="1389" w:right="1418" w:bottom="1418"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A3784" w14:textId="77777777" w:rsidR="004F6CE4" w:rsidRDefault="004F6CE4">
      <w:r>
        <w:separator/>
      </w:r>
    </w:p>
  </w:endnote>
  <w:endnote w:type="continuationSeparator" w:id="0">
    <w:p w14:paraId="45712887" w14:textId="77777777" w:rsidR="004F6CE4" w:rsidRDefault="004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libri">
    <w:altName w:val="Times New Roman"/>
    <w:panose1 w:val="020F0502020204030204"/>
    <w:charset w:val="BA"/>
    <w:family w:val="swiss"/>
    <w:pitch w:val="variable"/>
    <w:sig w:usb0="E00002FF" w:usb1="4000ACFF" w:usb2="00000001" w:usb3="00000000" w:csb0="0000019F" w:csb1="00000000"/>
  </w:font>
  <w:font w:name="Cambria">
    <w:altName w:val="Palatino Linotype"/>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EAA" w14:textId="77777777" w:rsidR="006F1FA1" w:rsidRDefault="006F1FA1" w:rsidP="00225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35EAB" w14:textId="77777777" w:rsidR="006F1FA1" w:rsidRDefault="006F1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EAC" w14:textId="77777777" w:rsidR="006F1FA1" w:rsidRDefault="006F1FA1">
    <w:pPr>
      <w:pStyle w:val="Footer"/>
      <w:jc w:val="center"/>
    </w:pPr>
    <w:r>
      <w:fldChar w:fldCharType="begin"/>
    </w:r>
    <w:r>
      <w:instrText>PAGE   \* MERGEFORMAT</w:instrText>
    </w:r>
    <w:r>
      <w:fldChar w:fldCharType="separate"/>
    </w:r>
    <w:r w:rsidR="00B47DFD">
      <w:rPr>
        <w:noProof/>
      </w:rPr>
      <w:t>2</w:t>
    </w:r>
    <w:r>
      <w:fldChar w:fldCharType="end"/>
    </w:r>
  </w:p>
  <w:p w14:paraId="60D35EAD" w14:textId="77777777" w:rsidR="006F1FA1" w:rsidRDefault="006F1F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3723" w14:textId="77777777" w:rsidR="004F6CE4" w:rsidRDefault="004F6CE4">
      <w:r>
        <w:separator/>
      </w:r>
    </w:p>
  </w:footnote>
  <w:footnote w:type="continuationSeparator" w:id="0">
    <w:p w14:paraId="566EB9CA" w14:textId="77777777" w:rsidR="004F6CE4" w:rsidRDefault="004F6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EA6" w14:textId="77777777" w:rsidR="006F1FA1" w:rsidRDefault="006F1F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35EA7" w14:textId="77777777" w:rsidR="006F1FA1" w:rsidRDefault="006F1F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EA8" w14:textId="77777777" w:rsidR="006F1FA1" w:rsidRDefault="006F1FA1">
    <w:pPr>
      <w:pStyle w:val="Header"/>
    </w:pPr>
  </w:p>
  <w:p w14:paraId="60D35EA9" w14:textId="77777777" w:rsidR="006F1FA1" w:rsidRDefault="006F1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EAE" w14:textId="24788B9F" w:rsidR="006F1FA1" w:rsidRDefault="006F1FA1" w:rsidP="00240CC3">
    <w:pPr>
      <w:pStyle w:val="Header"/>
      <w:jc w:val="right"/>
      <w:rPr>
        <w:noProof/>
        <w:lang w:eastAsia="et-EE"/>
      </w:rPr>
    </w:pPr>
    <w:r w:rsidRPr="00240CC3">
      <w:rPr>
        <w:noProof/>
        <w:lang w:eastAsia="et-EE"/>
      </w:rPr>
      <w:t xml:space="preserve">Versioon </w:t>
    </w:r>
    <w:r w:rsidR="00CB1318">
      <w:rPr>
        <w:noProof/>
        <w:lang w:eastAsia="et-EE"/>
      </w:rPr>
      <w:t>2</w:t>
    </w:r>
  </w:p>
  <w:p w14:paraId="60D35EAF" w14:textId="77777777" w:rsidR="006F1FA1" w:rsidRPr="00240CC3" w:rsidRDefault="006F1FA1" w:rsidP="00240CC3">
    <w:pPr>
      <w:pStyle w:val="Header"/>
      <w:jc w:val="right"/>
      <w:rPr>
        <w:noProof/>
        <w:lang w:eastAsia="et-EE"/>
      </w:rPr>
    </w:pPr>
    <w:r w:rsidRPr="00240CC3">
      <w:rPr>
        <w:noProof/>
        <w:lang w:eastAsia="et-EE"/>
      </w:rPr>
      <w:drawing>
        <wp:anchor distT="0" distB="0" distL="114300" distR="114300" simplePos="0" relativeHeight="251657728" behindDoc="0" locked="0" layoutInCell="1" allowOverlap="1" wp14:anchorId="60D35EB1" wp14:editId="60D35EB2">
          <wp:simplePos x="0" y="0"/>
          <wp:positionH relativeFrom="column">
            <wp:posOffset>-582295</wp:posOffset>
          </wp:positionH>
          <wp:positionV relativeFrom="paragraph">
            <wp:posOffset>224155</wp:posOffset>
          </wp:positionV>
          <wp:extent cx="1459865" cy="413385"/>
          <wp:effectExtent l="0" t="0" r="6985" b="5715"/>
          <wp:wrapNone/>
          <wp:docPr id="2" name="Picture 1" descr="EASi logo 2011 sinine tau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i logo 2011 sinine tau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35EB0" w14:textId="77777777" w:rsidR="006F1FA1" w:rsidRDefault="006F1FA1" w:rsidP="00240CC3">
    <w:pPr>
      <w:pStyle w:val="Header"/>
      <w:jc w:val="right"/>
    </w:pPr>
    <w:r w:rsidRPr="00240CC3">
      <w:rPr>
        <w:b/>
        <w:noProof/>
        <w:lang w:eastAsia="et-EE"/>
      </w:rPr>
      <w:drawing>
        <wp:inline distT="0" distB="0" distL="0" distR="0" wp14:anchorId="60D35EB3" wp14:editId="60D35EB4">
          <wp:extent cx="971550" cy="5905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E3E"/>
    <w:multiLevelType w:val="multilevel"/>
    <w:tmpl w:val="B6CE93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582FE6"/>
    <w:multiLevelType w:val="multilevel"/>
    <w:tmpl w:val="8A7C6060"/>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0B3CA2"/>
    <w:multiLevelType w:val="multilevel"/>
    <w:tmpl w:val="C7FEFD46"/>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D93994"/>
    <w:multiLevelType w:val="multilevel"/>
    <w:tmpl w:val="F4E8F4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6B2C90"/>
    <w:multiLevelType w:val="multilevel"/>
    <w:tmpl w:val="8354A888"/>
    <w:lvl w:ilvl="0">
      <w:start w:val="1"/>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1B052B"/>
    <w:multiLevelType w:val="multilevel"/>
    <w:tmpl w:val="ADA07566"/>
    <w:styleLink w:val="Laa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B96CB1"/>
    <w:multiLevelType w:val="multilevel"/>
    <w:tmpl w:val="386C1482"/>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9E"/>
    <w:rsid w:val="000103CB"/>
    <w:rsid w:val="00012D95"/>
    <w:rsid w:val="0001432D"/>
    <w:rsid w:val="00015473"/>
    <w:rsid w:val="00017233"/>
    <w:rsid w:val="00022A49"/>
    <w:rsid w:val="000271E5"/>
    <w:rsid w:val="00030308"/>
    <w:rsid w:val="00036E1D"/>
    <w:rsid w:val="00037DF0"/>
    <w:rsid w:val="00042A7E"/>
    <w:rsid w:val="000463FE"/>
    <w:rsid w:val="00051CD4"/>
    <w:rsid w:val="00056B50"/>
    <w:rsid w:val="00060CBA"/>
    <w:rsid w:val="00061B57"/>
    <w:rsid w:val="00061B9F"/>
    <w:rsid w:val="00065742"/>
    <w:rsid w:val="0006650E"/>
    <w:rsid w:val="0007511D"/>
    <w:rsid w:val="00075DF8"/>
    <w:rsid w:val="00075F74"/>
    <w:rsid w:val="0007688C"/>
    <w:rsid w:val="00077FE4"/>
    <w:rsid w:val="00081CC4"/>
    <w:rsid w:val="00085DC9"/>
    <w:rsid w:val="00086786"/>
    <w:rsid w:val="00086CF6"/>
    <w:rsid w:val="00087551"/>
    <w:rsid w:val="00091BC0"/>
    <w:rsid w:val="000941AC"/>
    <w:rsid w:val="000945A5"/>
    <w:rsid w:val="000959DD"/>
    <w:rsid w:val="00096709"/>
    <w:rsid w:val="00096E9A"/>
    <w:rsid w:val="000A1B8C"/>
    <w:rsid w:val="000A4C8C"/>
    <w:rsid w:val="000B0A90"/>
    <w:rsid w:val="000B14B8"/>
    <w:rsid w:val="000B5221"/>
    <w:rsid w:val="000B6422"/>
    <w:rsid w:val="000B649F"/>
    <w:rsid w:val="000B72CF"/>
    <w:rsid w:val="000C4571"/>
    <w:rsid w:val="000C6A55"/>
    <w:rsid w:val="000C7C6F"/>
    <w:rsid w:val="000D6921"/>
    <w:rsid w:val="000E1BCF"/>
    <w:rsid w:val="000E2B99"/>
    <w:rsid w:val="000E5F81"/>
    <w:rsid w:val="000F6422"/>
    <w:rsid w:val="000F7CB0"/>
    <w:rsid w:val="0010029F"/>
    <w:rsid w:val="0010055C"/>
    <w:rsid w:val="001022A9"/>
    <w:rsid w:val="00102729"/>
    <w:rsid w:val="00106C1A"/>
    <w:rsid w:val="0010701D"/>
    <w:rsid w:val="001102EF"/>
    <w:rsid w:val="00111B1C"/>
    <w:rsid w:val="001223F9"/>
    <w:rsid w:val="00122DEC"/>
    <w:rsid w:val="00123300"/>
    <w:rsid w:val="00130C3F"/>
    <w:rsid w:val="00136037"/>
    <w:rsid w:val="00136A9D"/>
    <w:rsid w:val="00136CDD"/>
    <w:rsid w:val="00136FC6"/>
    <w:rsid w:val="001445C8"/>
    <w:rsid w:val="00144E72"/>
    <w:rsid w:val="00146794"/>
    <w:rsid w:val="00150053"/>
    <w:rsid w:val="00150E7B"/>
    <w:rsid w:val="00155886"/>
    <w:rsid w:val="0016036C"/>
    <w:rsid w:val="00161297"/>
    <w:rsid w:val="0016360C"/>
    <w:rsid w:val="001637D9"/>
    <w:rsid w:val="00164869"/>
    <w:rsid w:val="00165F88"/>
    <w:rsid w:val="00166E48"/>
    <w:rsid w:val="0017588D"/>
    <w:rsid w:val="00175918"/>
    <w:rsid w:val="00176B25"/>
    <w:rsid w:val="00176BDB"/>
    <w:rsid w:val="00176D1B"/>
    <w:rsid w:val="00176EB8"/>
    <w:rsid w:val="00180CA6"/>
    <w:rsid w:val="00180DCB"/>
    <w:rsid w:val="00181030"/>
    <w:rsid w:val="00181F75"/>
    <w:rsid w:val="00186366"/>
    <w:rsid w:val="001925E8"/>
    <w:rsid w:val="00194494"/>
    <w:rsid w:val="00195676"/>
    <w:rsid w:val="0019724B"/>
    <w:rsid w:val="00197631"/>
    <w:rsid w:val="00197F53"/>
    <w:rsid w:val="001A35E4"/>
    <w:rsid w:val="001A513C"/>
    <w:rsid w:val="001A7D59"/>
    <w:rsid w:val="001A7FA1"/>
    <w:rsid w:val="001B2D12"/>
    <w:rsid w:val="001B35C8"/>
    <w:rsid w:val="001B5A39"/>
    <w:rsid w:val="001C0260"/>
    <w:rsid w:val="001C0DCC"/>
    <w:rsid w:val="001C3F53"/>
    <w:rsid w:val="001C51CE"/>
    <w:rsid w:val="001C642B"/>
    <w:rsid w:val="001C7086"/>
    <w:rsid w:val="001D0256"/>
    <w:rsid w:val="001D04D2"/>
    <w:rsid w:val="001D0ACA"/>
    <w:rsid w:val="001D42FF"/>
    <w:rsid w:val="001D4DD9"/>
    <w:rsid w:val="001D642F"/>
    <w:rsid w:val="001E2CBD"/>
    <w:rsid w:val="001E39AB"/>
    <w:rsid w:val="001E5824"/>
    <w:rsid w:val="001E6B3C"/>
    <w:rsid w:val="001F09A8"/>
    <w:rsid w:val="001F3080"/>
    <w:rsid w:val="001F48E1"/>
    <w:rsid w:val="001F5A39"/>
    <w:rsid w:val="001F60E7"/>
    <w:rsid w:val="001F7DE4"/>
    <w:rsid w:val="00203950"/>
    <w:rsid w:val="00204CFD"/>
    <w:rsid w:val="00210BD2"/>
    <w:rsid w:val="00211A0B"/>
    <w:rsid w:val="00223340"/>
    <w:rsid w:val="00224902"/>
    <w:rsid w:val="002253B6"/>
    <w:rsid w:val="00231455"/>
    <w:rsid w:val="00231817"/>
    <w:rsid w:val="00231AFF"/>
    <w:rsid w:val="0023254F"/>
    <w:rsid w:val="00232B20"/>
    <w:rsid w:val="00236038"/>
    <w:rsid w:val="00240CC3"/>
    <w:rsid w:val="00241015"/>
    <w:rsid w:val="00242B7D"/>
    <w:rsid w:val="002464A7"/>
    <w:rsid w:val="00251777"/>
    <w:rsid w:val="0026131B"/>
    <w:rsid w:val="002631DD"/>
    <w:rsid w:val="00263684"/>
    <w:rsid w:val="00270656"/>
    <w:rsid w:val="0027244E"/>
    <w:rsid w:val="00272A4C"/>
    <w:rsid w:val="00273AEA"/>
    <w:rsid w:val="00277EC6"/>
    <w:rsid w:val="002859C3"/>
    <w:rsid w:val="002868D8"/>
    <w:rsid w:val="00292C9E"/>
    <w:rsid w:val="00293064"/>
    <w:rsid w:val="002938FF"/>
    <w:rsid w:val="002944E9"/>
    <w:rsid w:val="00294D6E"/>
    <w:rsid w:val="00296962"/>
    <w:rsid w:val="002972E3"/>
    <w:rsid w:val="002A0E4E"/>
    <w:rsid w:val="002A1969"/>
    <w:rsid w:val="002A49CA"/>
    <w:rsid w:val="002A6884"/>
    <w:rsid w:val="002A7731"/>
    <w:rsid w:val="002A7E1E"/>
    <w:rsid w:val="002B1F09"/>
    <w:rsid w:val="002B3961"/>
    <w:rsid w:val="002B3C27"/>
    <w:rsid w:val="002B5536"/>
    <w:rsid w:val="002B5C90"/>
    <w:rsid w:val="002B5CDD"/>
    <w:rsid w:val="002C1AF4"/>
    <w:rsid w:val="002C4A65"/>
    <w:rsid w:val="002C4C3E"/>
    <w:rsid w:val="002C73EC"/>
    <w:rsid w:val="002D1DC4"/>
    <w:rsid w:val="002D2772"/>
    <w:rsid w:val="002D6F8F"/>
    <w:rsid w:val="002E0342"/>
    <w:rsid w:val="002E0B10"/>
    <w:rsid w:val="002E25F9"/>
    <w:rsid w:val="002E3C87"/>
    <w:rsid w:val="002E4AAC"/>
    <w:rsid w:val="002E5B58"/>
    <w:rsid w:val="002F50D4"/>
    <w:rsid w:val="00300064"/>
    <w:rsid w:val="00302ED0"/>
    <w:rsid w:val="00306956"/>
    <w:rsid w:val="003110E8"/>
    <w:rsid w:val="00315F63"/>
    <w:rsid w:val="0032017B"/>
    <w:rsid w:val="00323286"/>
    <w:rsid w:val="003244BB"/>
    <w:rsid w:val="00326FFD"/>
    <w:rsid w:val="003312FA"/>
    <w:rsid w:val="00331391"/>
    <w:rsid w:val="003342EF"/>
    <w:rsid w:val="003404E2"/>
    <w:rsid w:val="00341501"/>
    <w:rsid w:val="003428F9"/>
    <w:rsid w:val="003456AF"/>
    <w:rsid w:val="00353A3D"/>
    <w:rsid w:val="00355E81"/>
    <w:rsid w:val="00356899"/>
    <w:rsid w:val="00361BA2"/>
    <w:rsid w:val="00364DBD"/>
    <w:rsid w:val="0036572E"/>
    <w:rsid w:val="003657A2"/>
    <w:rsid w:val="00365CE7"/>
    <w:rsid w:val="00370527"/>
    <w:rsid w:val="00371802"/>
    <w:rsid w:val="00374264"/>
    <w:rsid w:val="003762EC"/>
    <w:rsid w:val="00377872"/>
    <w:rsid w:val="00377A88"/>
    <w:rsid w:val="00383C54"/>
    <w:rsid w:val="00384414"/>
    <w:rsid w:val="003845E9"/>
    <w:rsid w:val="0038560C"/>
    <w:rsid w:val="003908C2"/>
    <w:rsid w:val="003910EA"/>
    <w:rsid w:val="00392801"/>
    <w:rsid w:val="003A0337"/>
    <w:rsid w:val="003A2403"/>
    <w:rsid w:val="003A492B"/>
    <w:rsid w:val="003A5859"/>
    <w:rsid w:val="003A744F"/>
    <w:rsid w:val="003B1B4B"/>
    <w:rsid w:val="003B23E8"/>
    <w:rsid w:val="003B3614"/>
    <w:rsid w:val="003B64BA"/>
    <w:rsid w:val="003B6540"/>
    <w:rsid w:val="003B6C2F"/>
    <w:rsid w:val="003C78C1"/>
    <w:rsid w:val="003D2927"/>
    <w:rsid w:val="003D3E23"/>
    <w:rsid w:val="003D4CA2"/>
    <w:rsid w:val="003D5080"/>
    <w:rsid w:val="003D6BCD"/>
    <w:rsid w:val="003E030A"/>
    <w:rsid w:val="003E4F31"/>
    <w:rsid w:val="003F4171"/>
    <w:rsid w:val="003F58D7"/>
    <w:rsid w:val="003F5F89"/>
    <w:rsid w:val="00401C11"/>
    <w:rsid w:val="00403305"/>
    <w:rsid w:val="004036D7"/>
    <w:rsid w:val="00407BCD"/>
    <w:rsid w:val="00407BFC"/>
    <w:rsid w:val="004122F5"/>
    <w:rsid w:val="00416FEF"/>
    <w:rsid w:val="00423701"/>
    <w:rsid w:val="00423F77"/>
    <w:rsid w:val="00424454"/>
    <w:rsid w:val="00431BD0"/>
    <w:rsid w:val="004356EA"/>
    <w:rsid w:val="00443D0F"/>
    <w:rsid w:val="004473E7"/>
    <w:rsid w:val="004501DD"/>
    <w:rsid w:val="00451DA1"/>
    <w:rsid w:val="00453D28"/>
    <w:rsid w:val="00455254"/>
    <w:rsid w:val="004615FA"/>
    <w:rsid w:val="00462883"/>
    <w:rsid w:val="00463296"/>
    <w:rsid w:val="0046520F"/>
    <w:rsid w:val="004721D3"/>
    <w:rsid w:val="004725C5"/>
    <w:rsid w:val="004726BB"/>
    <w:rsid w:val="00472F04"/>
    <w:rsid w:val="00473AED"/>
    <w:rsid w:val="0047502A"/>
    <w:rsid w:val="0048098C"/>
    <w:rsid w:val="00481141"/>
    <w:rsid w:val="004813CC"/>
    <w:rsid w:val="00483EAB"/>
    <w:rsid w:val="00496332"/>
    <w:rsid w:val="0049655D"/>
    <w:rsid w:val="004A030A"/>
    <w:rsid w:val="004A0E78"/>
    <w:rsid w:val="004B004E"/>
    <w:rsid w:val="004B09EE"/>
    <w:rsid w:val="004B3E3E"/>
    <w:rsid w:val="004C1193"/>
    <w:rsid w:val="004C4078"/>
    <w:rsid w:val="004C4F91"/>
    <w:rsid w:val="004C5883"/>
    <w:rsid w:val="004C7252"/>
    <w:rsid w:val="004C7D30"/>
    <w:rsid w:val="004D32EA"/>
    <w:rsid w:val="004D426A"/>
    <w:rsid w:val="004D4903"/>
    <w:rsid w:val="004D650E"/>
    <w:rsid w:val="004E2FA5"/>
    <w:rsid w:val="004E3DB5"/>
    <w:rsid w:val="004F0B78"/>
    <w:rsid w:val="004F259D"/>
    <w:rsid w:val="004F34D2"/>
    <w:rsid w:val="004F585E"/>
    <w:rsid w:val="004F6CE4"/>
    <w:rsid w:val="004F74EA"/>
    <w:rsid w:val="0050160F"/>
    <w:rsid w:val="00502DB9"/>
    <w:rsid w:val="005072B6"/>
    <w:rsid w:val="0051383D"/>
    <w:rsid w:val="00514C79"/>
    <w:rsid w:val="005168E5"/>
    <w:rsid w:val="00521CA8"/>
    <w:rsid w:val="00521D12"/>
    <w:rsid w:val="00522C42"/>
    <w:rsid w:val="00523F4B"/>
    <w:rsid w:val="005249BC"/>
    <w:rsid w:val="00524ECD"/>
    <w:rsid w:val="00524F85"/>
    <w:rsid w:val="00525777"/>
    <w:rsid w:val="005338DC"/>
    <w:rsid w:val="0053681E"/>
    <w:rsid w:val="005477D1"/>
    <w:rsid w:val="00551F3C"/>
    <w:rsid w:val="00554681"/>
    <w:rsid w:val="00556BAE"/>
    <w:rsid w:val="00557FD5"/>
    <w:rsid w:val="00560E89"/>
    <w:rsid w:val="00562AF6"/>
    <w:rsid w:val="005651AD"/>
    <w:rsid w:val="00566EC8"/>
    <w:rsid w:val="005702BD"/>
    <w:rsid w:val="00571098"/>
    <w:rsid w:val="0057184C"/>
    <w:rsid w:val="00572261"/>
    <w:rsid w:val="00573120"/>
    <w:rsid w:val="005732B8"/>
    <w:rsid w:val="00584919"/>
    <w:rsid w:val="0058508A"/>
    <w:rsid w:val="00591821"/>
    <w:rsid w:val="0059431E"/>
    <w:rsid w:val="005977B7"/>
    <w:rsid w:val="005A104E"/>
    <w:rsid w:val="005A1997"/>
    <w:rsid w:val="005B5DD7"/>
    <w:rsid w:val="005B5FF6"/>
    <w:rsid w:val="005C50D5"/>
    <w:rsid w:val="005C53E1"/>
    <w:rsid w:val="005C7D09"/>
    <w:rsid w:val="005D210F"/>
    <w:rsid w:val="005D2B29"/>
    <w:rsid w:val="005D5BBA"/>
    <w:rsid w:val="005E0448"/>
    <w:rsid w:val="005F09DB"/>
    <w:rsid w:val="005F133D"/>
    <w:rsid w:val="005F778B"/>
    <w:rsid w:val="00601D64"/>
    <w:rsid w:val="00605274"/>
    <w:rsid w:val="0060528D"/>
    <w:rsid w:val="006053A4"/>
    <w:rsid w:val="00605C25"/>
    <w:rsid w:val="00607A38"/>
    <w:rsid w:val="0061034A"/>
    <w:rsid w:val="00611CCB"/>
    <w:rsid w:val="00614877"/>
    <w:rsid w:val="00614D87"/>
    <w:rsid w:val="006157D2"/>
    <w:rsid w:val="0061685C"/>
    <w:rsid w:val="00620560"/>
    <w:rsid w:val="0062182A"/>
    <w:rsid w:val="006218E8"/>
    <w:rsid w:val="006221F1"/>
    <w:rsid w:val="00624612"/>
    <w:rsid w:val="00625F3F"/>
    <w:rsid w:val="00631D47"/>
    <w:rsid w:val="006355DE"/>
    <w:rsid w:val="00635D52"/>
    <w:rsid w:val="00635F46"/>
    <w:rsid w:val="006363EA"/>
    <w:rsid w:val="006400F6"/>
    <w:rsid w:val="00640126"/>
    <w:rsid w:val="00641659"/>
    <w:rsid w:val="0064378E"/>
    <w:rsid w:val="00643C59"/>
    <w:rsid w:val="00645B79"/>
    <w:rsid w:val="00647937"/>
    <w:rsid w:val="00651752"/>
    <w:rsid w:val="00652201"/>
    <w:rsid w:val="00653F09"/>
    <w:rsid w:val="00663D50"/>
    <w:rsid w:val="00663DBA"/>
    <w:rsid w:val="006674DD"/>
    <w:rsid w:val="00667715"/>
    <w:rsid w:val="00670F80"/>
    <w:rsid w:val="00676F6F"/>
    <w:rsid w:val="006801A3"/>
    <w:rsid w:val="00680729"/>
    <w:rsid w:val="006842D9"/>
    <w:rsid w:val="006860B4"/>
    <w:rsid w:val="0068736B"/>
    <w:rsid w:val="00690D9F"/>
    <w:rsid w:val="00691685"/>
    <w:rsid w:val="00693A1D"/>
    <w:rsid w:val="00696A22"/>
    <w:rsid w:val="006A0AD9"/>
    <w:rsid w:val="006A2BEF"/>
    <w:rsid w:val="006A351C"/>
    <w:rsid w:val="006A3C79"/>
    <w:rsid w:val="006B2CFA"/>
    <w:rsid w:val="006C1126"/>
    <w:rsid w:val="006C18D5"/>
    <w:rsid w:val="006C1B2F"/>
    <w:rsid w:val="006C27E8"/>
    <w:rsid w:val="006C36EE"/>
    <w:rsid w:val="006C3BF6"/>
    <w:rsid w:val="006C5CD3"/>
    <w:rsid w:val="006D3097"/>
    <w:rsid w:val="006D3750"/>
    <w:rsid w:val="006E0E5E"/>
    <w:rsid w:val="006E1E2E"/>
    <w:rsid w:val="006E4785"/>
    <w:rsid w:val="006E5741"/>
    <w:rsid w:val="006F047B"/>
    <w:rsid w:val="006F11B0"/>
    <w:rsid w:val="006F1FA1"/>
    <w:rsid w:val="006F1FAB"/>
    <w:rsid w:val="006F511D"/>
    <w:rsid w:val="006F5790"/>
    <w:rsid w:val="006F5DC0"/>
    <w:rsid w:val="006F615E"/>
    <w:rsid w:val="006F7BCA"/>
    <w:rsid w:val="0070343B"/>
    <w:rsid w:val="00704405"/>
    <w:rsid w:val="0070579F"/>
    <w:rsid w:val="00706895"/>
    <w:rsid w:val="00712F2D"/>
    <w:rsid w:val="0071347C"/>
    <w:rsid w:val="007210DC"/>
    <w:rsid w:val="00721286"/>
    <w:rsid w:val="007233D8"/>
    <w:rsid w:val="0072607C"/>
    <w:rsid w:val="0072739F"/>
    <w:rsid w:val="00727667"/>
    <w:rsid w:val="00731CA2"/>
    <w:rsid w:val="0073286D"/>
    <w:rsid w:val="0073411B"/>
    <w:rsid w:val="00734F7D"/>
    <w:rsid w:val="007363E1"/>
    <w:rsid w:val="00737F52"/>
    <w:rsid w:val="00741C12"/>
    <w:rsid w:val="007435D9"/>
    <w:rsid w:val="007456FA"/>
    <w:rsid w:val="00745D2E"/>
    <w:rsid w:val="0075110A"/>
    <w:rsid w:val="007521CF"/>
    <w:rsid w:val="00752C0D"/>
    <w:rsid w:val="00753F04"/>
    <w:rsid w:val="00755381"/>
    <w:rsid w:val="00761743"/>
    <w:rsid w:val="00763F10"/>
    <w:rsid w:val="00763FF4"/>
    <w:rsid w:val="0076529C"/>
    <w:rsid w:val="00765B7E"/>
    <w:rsid w:val="00765BBF"/>
    <w:rsid w:val="00770379"/>
    <w:rsid w:val="00770C75"/>
    <w:rsid w:val="00773F62"/>
    <w:rsid w:val="0077758C"/>
    <w:rsid w:val="007806FC"/>
    <w:rsid w:val="00780EDA"/>
    <w:rsid w:val="00794126"/>
    <w:rsid w:val="00794ACC"/>
    <w:rsid w:val="007A736B"/>
    <w:rsid w:val="007B0167"/>
    <w:rsid w:val="007B4C8A"/>
    <w:rsid w:val="007B5F5F"/>
    <w:rsid w:val="007C13BA"/>
    <w:rsid w:val="007C29DD"/>
    <w:rsid w:val="007C4026"/>
    <w:rsid w:val="007C7704"/>
    <w:rsid w:val="007D1CB6"/>
    <w:rsid w:val="007D305E"/>
    <w:rsid w:val="007D4245"/>
    <w:rsid w:val="007D595D"/>
    <w:rsid w:val="007E0442"/>
    <w:rsid w:val="007E6E1D"/>
    <w:rsid w:val="007F08C6"/>
    <w:rsid w:val="007F0C3B"/>
    <w:rsid w:val="007F1A57"/>
    <w:rsid w:val="007F1B98"/>
    <w:rsid w:val="008036F8"/>
    <w:rsid w:val="00804E6F"/>
    <w:rsid w:val="008058C3"/>
    <w:rsid w:val="00807128"/>
    <w:rsid w:val="0080734C"/>
    <w:rsid w:val="008104D9"/>
    <w:rsid w:val="00812427"/>
    <w:rsid w:val="00812D4C"/>
    <w:rsid w:val="0081333C"/>
    <w:rsid w:val="00814E9E"/>
    <w:rsid w:val="00821CB2"/>
    <w:rsid w:val="00824259"/>
    <w:rsid w:val="00827626"/>
    <w:rsid w:val="008300AE"/>
    <w:rsid w:val="008309E6"/>
    <w:rsid w:val="00830D8F"/>
    <w:rsid w:val="00834151"/>
    <w:rsid w:val="0083730A"/>
    <w:rsid w:val="00841DF6"/>
    <w:rsid w:val="00842B27"/>
    <w:rsid w:val="0084446E"/>
    <w:rsid w:val="00846E3E"/>
    <w:rsid w:val="0085013A"/>
    <w:rsid w:val="00852DF1"/>
    <w:rsid w:val="00857114"/>
    <w:rsid w:val="00862FB4"/>
    <w:rsid w:val="00867528"/>
    <w:rsid w:val="00870005"/>
    <w:rsid w:val="00872602"/>
    <w:rsid w:val="008730D8"/>
    <w:rsid w:val="00874518"/>
    <w:rsid w:val="008757C5"/>
    <w:rsid w:val="00876809"/>
    <w:rsid w:val="00876EBF"/>
    <w:rsid w:val="008800D5"/>
    <w:rsid w:val="008806DD"/>
    <w:rsid w:val="00883C23"/>
    <w:rsid w:val="008844A5"/>
    <w:rsid w:val="0088782B"/>
    <w:rsid w:val="00890E5D"/>
    <w:rsid w:val="008912A3"/>
    <w:rsid w:val="00891960"/>
    <w:rsid w:val="0089198D"/>
    <w:rsid w:val="00896C88"/>
    <w:rsid w:val="008A0558"/>
    <w:rsid w:val="008A4ABB"/>
    <w:rsid w:val="008A5545"/>
    <w:rsid w:val="008A5C53"/>
    <w:rsid w:val="008B0D61"/>
    <w:rsid w:val="008B1984"/>
    <w:rsid w:val="008B2521"/>
    <w:rsid w:val="008B44DD"/>
    <w:rsid w:val="008B5FC0"/>
    <w:rsid w:val="008B67C1"/>
    <w:rsid w:val="008B7317"/>
    <w:rsid w:val="008B7E4F"/>
    <w:rsid w:val="008C0E8C"/>
    <w:rsid w:val="008C15C5"/>
    <w:rsid w:val="008C24D9"/>
    <w:rsid w:val="008C2A49"/>
    <w:rsid w:val="008C2FD3"/>
    <w:rsid w:val="008E2021"/>
    <w:rsid w:val="008E4EA4"/>
    <w:rsid w:val="008E5556"/>
    <w:rsid w:val="008E72BB"/>
    <w:rsid w:val="008E79AB"/>
    <w:rsid w:val="008F0A93"/>
    <w:rsid w:val="008F1D4D"/>
    <w:rsid w:val="008F494C"/>
    <w:rsid w:val="008F6BCF"/>
    <w:rsid w:val="009022A9"/>
    <w:rsid w:val="00903685"/>
    <w:rsid w:val="00905F9F"/>
    <w:rsid w:val="00912538"/>
    <w:rsid w:val="00914516"/>
    <w:rsid w:val="00914A6D"/>
    <w:rsid w:val="009241F0"/>
    <w:rsid w:val="00926588"/>
    <w:rsid w:val="009278C1"/>
    <w:rsid w:val="009316F2"/>
    <w:rsid w:val="009319FC"/>
    <w:rsid w:val="00934B3D"/>
    <w:rsid w:val="009363ED"/>
    <w:rsid w:val="00937B73"/>
    <w:rsid w:val="00941245"/>
    <w:rsid w:val="009414F1"/>
    <w:rsid w:val="00942AFD"/>
    <w:rsid w:val="009430D0"/>
    <w:rsid w:val="00943B9C"/>
    <w:rsid w:val="0094513E"/>
    <w:rsid w:val="00946162"/>
    <w:rsid w:val="009465C3"/>
    <w:rsid w:val="00946A19"/>
    <w:rsid w:val="0095125B"/>
    <w:rsid w:val="00951B36"/>
    <w:rsid w:val="00960249"/>
    <w:rsid w:val="00960C58"/>
    <w:rsid w:val="0096111B"/>
    <w:rsid w:val="00965F59"/>
    <w:rsid w:val="00974471"/>
    <w:rsid w:val="0097581D"/>
    <w:rsid w:val="00977A06"/>
    <w:rsid w:val="009829C5"/>
    <w:rsid w:val="00983C63"/>
    <w:rsid w:val="009841F1"/>
    <w:rsid w:val="00985691"/>
    <w:rsid w:val="009901DC"/>
    <w:rsid w:val="009915C4"/>
    <w:rsid w:val="00992EA1"/>
    <w:rsid w:val="009945F9"/>
    <w:rsid w:val="00995AB2"/>
    <w:rsid w:val="00995D00"/>
    <w:rsid w:val="009960B0"/>
    <w:rsid w:val="009A1C20"/>
    <w:rsid w:val="009A1F14"/>
    <w:rsid w:val="009A249E"/>
    <w:rsid w:val="009B1202"/>
    <w:rsid w:val="009B18EB"/>
    <w:rsid w:val="009B22AE"/>
    <w:rsid w:val="009B4290"/>
    <w:rsid w:val="009B4458"/>
    <w:rsid w:val="009B51D5"/>
    <w:rsid w:val="009B53B0"/>
    <w:rsid w:val="009B6558"/>
    <w:rsid w:val="009C1F70"/>
    <w:rsid w:val="009C42E3"/>
    <w:rsid w:val="009C7380"/>
    <w:rsid w:val="009D0086"/>
    <w:rsid w:val="009D343E"/>
    <w:rsid w:val="009D3BB8"/>
    <w:rsid w:val="009E00A6"/>
    <w:rsid w:val="009E064F"/>
    <w:rsid w:val="009E19AD"/>
    <w:rsid w:val="009E409E"/>
    <w:rsid w:val="009E44C9"/>
    <w:rsid w:val="009E6E79"/>
    <w:rsid w:val="009F0E2A"/>
    <w:rsid w:val="009F0EF0"/>
    <w:rsid w:val="00A045A4"/>
    <w:rsid w:val="00A04B48"/>
    <w:rsid w:val="00A060E3"/>
    <w:rsid w:val="00A069D7"/>
    <w:rsid w:val="00A076DE"/>
    <w:rsid w:val="00A10E16"/>
    <w:rsid w:val="00A13971"/>
    <w:rsid w:val="00A1466A"/>
    <w:rsid w:val="00A14A03"/>
    <w:rsid w:val="00A15790"/>
    <w:rsid w:val="00A166B8"/>
    <w:rsid w:val="00A20188"/>
    <w:rsid w:val="00A20650"/>
    <w:rsid w:val="00A22590"/>
    <w:rsid w:val="00A23379"/>
    <w:rsid w:val="00A23EE5"/>
    <w:rsid w:val="00A261B1"/>
    <w:rsid w:val="00A26C51"/>
    <w:rsid w:val="00A26DC3"/>
    <w:rsid w:val="00A2755B"/>
    <w:rsid w:val="00A30E2E"/>
    <w:rsid w:val="00A31251"/>
    <w:rsid w:val="00A31381"/>
    <w:rsid w:val="00A3153A"/>
    <w:rsid w:val="00A33EA7"/>
    <w:rsid w:val="00A340CD"/>
    <w:rsid w:val="00A40F1E"/>
    <w:rsid w:val="00A429EE"/>
    <w:rsid w:val="00A43213"/>
    <w:rsid w:val="00A43D20"/>
    <w:rsid w:val="00A50FE8"/>
    <w:rsid w:val="00A535BD"/>
    <w:rsid w:val="00A54877"/>
    <w:rsid w:val="00A57A18"/>
    <w:rsid w:val="00A6259F"/>
    <w:rsid w:val="00A629A8"/>
    <w:rsid w:val="00A63347"/>
    <w:rsid w:val="00A70EAB"/>
    <w:rsid w:val="00A70F78"/>
    <w:rsid w:val="00A74B0C"/>
    <w:rsid w:val="00A840A9"/>
    <w:rsid w:val="00A85E15"/>
    <w:rsid w:val="00A9039E"/>
    <w:rsid w:val="00A96DDE"/>
    <w:rsid w:val="00A97A39"/>
    <w:rsid w:val="00AA11B6"/>
    <w:rsid w:val="00AA1B09"/>
    <w:rsid w:val="00AA1CA1"/>
    <w:rsid w:val="00AA332D"/>
    <w:rsid w:val="00AA4479"/>
    <w:rsid w:val="00AA4812"/>
    <w:rsid w:val="00AA57DB"/>
    <w:rsid w:val="00AA726D"/>
    <w:rsid w:val="00AA7AC7"/>
    <w:rsid w:val="00AB07CB"/>
    <w:rsid w:val="00AB29D6"/>
    <w:rsid w:val="00AB5D78"/>
    <w:rsid w:val="00AB66C3"/>
    <w:rsid w:val="00AC0A42"/>
    <w:rsid w:val="00AC68BD"/>
    <w:rsid w:val="00AC6D8B"/>
    <w:rsid w:val="00AC783F"/>
    <w:rsid w:val="00AC7CB2"/>
    <w:rsid w:val="00AD0F53"/>
    <w:rsid w:val="00AD6AC7"/>
    <w:rsid w:val="00AD7A50"/>
    <w:rsid w:val="00AE2685"/>
    <w:rsid w:val="00AE3A6A"/>
    <w:rsid w:val="00AF3954"/>
    <w:rsid w:val="00B00EB5"/>
    <w:rsid w:val="00B00EF1"/>
    <w:rsid w:val="00B0384A"/>
    <w:rsid w:val="00B04065"/>
    <w:rsid w:val="00B05AF5"/>
    <w:rsid w:val="00B064C4"/>
    <w:rsid w:val="00B07DC2"/>
    <w:rsid w:val="00B16BE5"/>
    <w:rsid w:val="00B16EB4"/>
    <w:rsid w:val="00B1702F"/>
    <w:rsid w:val="00B1768C"/>
    <w:rsid w:val="00B2103A"/>
    <w:rsid w:val="00B21A3D"/>
    <w:rsid w:val="00B223E4"/>
    <w:rsid w:val="00B23039"/>
    <w:rsid w:val="00B266D8"/>
    <w:rsid w:val="00B2717E"/>
    <w:rsid w:val="00B32127"/>
    <w:rsid w:val="00B33DFA"/>
    <w:rsid w:val="00B344E2"/>
    <w:rsid w:val="00B34F31"/>
    <w:rsid w:val="00B3782E"/>
    <w:rsid w:val="00B37A8D"/>
    <w:rsid w:val="00B413D3"/>
    <w:rsid w:val="00B41DF5"/>
    <w:rsid w:val="00B43AC6"/>
    <w:rsid w:val="00B4483B"/>
    <w:rsid w:val="00B4556C"/>
    <w:rsid w:val="00B46CC4"/>
    <w:rsid w:val="00B47DFD"/>
    <w:rsid w:val="00B51F85"/>
    <w:rsid w:val="00B522E0"/>
    <w:rsid w:val="00B54F39"/>
    <w:rsid w:val="00B55610"/>
    <w:rsid w:val="00B63FB0"/>
    <w:rsid w:val="00B64E42"/>
    <w:rsid w:val="00B701AD"/>
    <w:rsid w:val="00B7099A"/>
    <w:rsid w:val="00B76149"/>
    <w:rsid w:val="00B776AE"/>
    <w:rsid w:val="00B8099C"/>
    <w:rsid w:val="00B843D6"/>
    <w:rsid w:val="00B86FA8"/>
    <w:rsid w:val="00B87163"/>
    <w:rsid w:val="00B91DA8"/>
    <w:rsid w:val="00B9771A"/>
    <w:rsid w:val="00BA1111"/>
    <w:rsid w:val="00BA1214"/>
    <w:rsid w:val="00BA1E89"/>
    <w:rsid w:val="00BA5859"/>
    <w:rsid w:val="00BA7276"/>
    <w:rsid w:val="00BB0BC5"/>
    <w:rsid w:val="00BB38C1"/>
    <w:rsid w:val="00BB5C76"/>
    <w:rsid w:val="00BC005B"/>
    <w:rsid w:val="00BC0C73"/>
    <w:rsid w:val="00BC1F6B"/>
    <w:rsid w:val="00BC6067"/>
    <w:rsid w:val="00BC60B5"/>
    <w:rsid w:val="00BC6E90"/>
    <w:rsid w:val="00BC762F"/>
    <w:rsid w:val="00BD00DA"/>
    <w:rsid w:val="00BE21B9"/>
    <w:rsid w:val="00BE2EE3"/>
    <w:rsid w:val="00BE38A1"/>
    <w:rsid w:val="00BE4308"/>
    <w:rsid w:val="00BE4BC1"/>
    <w:rsid w:val="00BE4C5F"/>
    <w:rsid w:val="00BE6AB7"/>
    <w:rsid w:val="00BE74B4"/>
    <w:rsid w:val="00BE7757"/>
    <w:rsid w:val="00BF108E"/>
    <w:rsid w:val="00BF1271"/>
    <w:rsid w:val="00BF326C"/>
    <w:rsid w:val="00BF65D4"/>
    <w:rsid w:val="00BF7D31"/>
    <w:rsid w:val="00C00FBE"/>
    <w:rsid w:val="00C018DF"/>
    <w:rsid w:val="00C0305A"/>
    <w:rsid w:val="00C0390B"/>
    <w:rsid w:val="00C044AF"/>
    <w:rsid w:val="00C047CA"/>
    <w:rsid w:val="00C05656"/>
    <w:rsid w:val="00C111E1"/>
    <w:rsid w:val="00C25A29"/>
    <w:rsid w:val="00C265D8"/>
    <w:rsid w:val="00C33EDC"/>
    <w:rsid w:val="00C36F0C"/>
    <w:rsid w:val="00C43AFD"/>
    <w:rsid w:val="00C450CF"/>
    <w:rsid w:val="00C4578D"/>
    <w:rsid w:val="00C47E86"/>
    <w:rsid w:val="00C53FBE"/>
    <w:rsid w:val="00C54896"/>
    <w:rsid w:val="00C55B58"/>
    <w:rsid w:val="00C63125"/>
    <w:rsid w:val="00C632F3"/>
    <w:rsid w:val="00C63D4E"/>
    <w:rsid w:val="00C65F03"/>
    <w:rsid w:val="00C67778"/>
    <w:rsid w:val="00C71365"/>
    <w:rsid w:val="00C81E35"/>
    <w:rsid w:val="00C83CB9"/>
    <w:rsid w:val="00C854F8"/>
    <w:rsid w:val="00C86DD3"/>
    <w:rsid w:val="00C92D14"/>
    <w:rsid w:val="00C97375"/>
    <w:rsid w:val="00CA4458"/>
    <w:rsid w:val="00CA499C"/>
    <w:rsid w:val="00CA6F46"/>
    <w:rsid w:val="00CB1318"/>
    <w:rsid w:val="00CB2805"/>
    <w:rsid w:val="00CB44E6"/>
    <w:rsid w:val="00CB6802"/>
    <w:rsid w:val="00CB7387"/>
    <w:rsid w:val="00CB7507"/>
    <w:rsid w:val="00CB76EA"/>
    <w:rsid w:val="00CC14DE"/>
    <w:rsid w:val="00CC3A9A"/>
    <w:rsid w:val="00CC6C5E"/>
    <w:rsid w:val="00CD0A72"/>
    <w:rsid w:val="00CD1313"/>
    <w:rsid w:val="00CD485A"/>
    <w:rsid w:val="00CD4D18"/>
    <w:rsid w:val="00CE1089"/>
    <w:rsid w:val="00CE1232"/>
    <w:rsid w:val="00CE292E"/>
    <w:rsid w:val="00CE5698"/>
    <w:rsid w:val="00CE738C"/>
    <w:rsid w:val="00CF00E5"/>
    <w:rsid w:val="00CF0610"/>
    <w:rsid w:val="00D00689"/>
    <w:rsid w:val="00D02D50"/>
    <w:rsid w:val="00D04C27"/>
    <w:rsid w:val="00D06C3C"/>
    <w:rsid w:val="00D077DF"/>
    <w:rsid w:val="00D07D9E"/>
    <w:rsid w:val="00D12F22"/>
    <w:rsid w:val="00D137DC"/>
    <w:rsid w:val="00D1499B"/>
    <w:rsid w:val="00D15D01"/>
    <w:rsid w:val="00D175C2"/>
    <w:rsid w:val="00D17917"/>
    <w:rsid w:val="00D17D55"/>
    <w:rsid w:val="00D21BB0"/>
    <w:rsid w:val="00D2298C"/>
    <w:rsid w:val="00D22A90"/>
    <w:rsid w:val="00D32381"/>
    <w:rsid w:val="00D33175"/>
    <w:rsid w:val="00D365FF"/>
    <w:rsid w:val="00D41223"/>
    <w:rsid w:val="00D449B3"/>
    <w:rsid w:val="00D464FE"/>
    <w:rsid w:val="00D46653"/>
    <w:rsid w:val="00D46EC0"/>
    <w:rsid w:val="00D56BFC"/>
    <w:rsid w:val="00D56C06"/>
    <w:rsid w:val="00D60EF2"/>
    <w:rsid w:val="00D61B2B"/>
    <w:rsid w:val="00D64C51"/>
    <w:rsid w:val="00D657D7"/>
    <w:rsid w:val="00D65F67"/>
    <w:rsid w:val="00D7064C"/>
    <w:rsid w:val="00D713E8"/>
    <w:rsid w:val="00D72486"/>
    <w:rsid w:val="00D72A47"/>
    <w:rsid w:val="00D7580F"/>
    <w:rsid w:val="00D75C96"/>
    <w:rsid w:val="00D925E3"/>
    <w:rsid w:val="00D95A6F"/>
    <w:rsid w:val="00DA07B6"/>
    <w:rsid w:val="00DA115F"/>
    <w:rsid w:val="00DA20B6"/>
    <w:rsid w:val="00DA2427"/>
    <w:rsid w:val="00DA410D"/>
    <w:rsid w:val="00DA4753"/>
    <w:rsid w:val="00DA52B4"/>
    <w:rsid w:val="00DB268B"/>
    <w:rsid w:val="00DC2275"/>
    <w:rsid w:val="00DC28E7"/>
    <w:rsid w:val="00DC4F22"/>
    <w:rsid w:val="00DC67E2"/>
    <w:rsid w:val="00DC7B02"/>
    <w:rsid w:val="00DD01C5"/>
    <w:rsid w:val="00DD2A9D"/>
    <w:rsid w:val="00DD3C91"/>
    <w:rsid w:val="00DD4B51"/>
    <w:rsid w:val="00DD62B8"/>
    <w:rsid w:val="00DE26FB"/>
    <w:rsid w:val="00DE3283"/>
    <w:rsid w:val="00DE6502"/>
    <w:rsid w:val="00DF0C21"/>
    <w:rsid w:val="00DF5919"/>
    <w:rsid w:val="00DF6C50"/>
    <w:rsid w:val="00DF6F0D"/>
    <w:rsid w:val="00E01175"/>
    <w:rsid w:val="00E01AD6"/>
    <w:rsid w:val="00E01F02"/>
    <w:rsid w:val="00E037DE"/>
    <w:rsid w:val="00E041FB"/>
    <w:rsid w:val="00E05B9E"/>
    <w:rsid w:val="00E15C56"/>
    <w:rsid w:val="00E16D16"/>
    <w:rsid w:val="00E2059F"/>
    <w:rsid w:val="00E207AC"/>
    <w:rsid w:val="00E2187C"/>
    <w:rsid w:val="00E22518"/>
    <w:rsid w:val="00E228A6"/>
    <w:rsid w:val="00E23CDA"/>
    <w:rsid w:val="00E23F1D"/>
    <w:rsid w:val="00E244FF"/>
    <w:rsid w:val="00E25C2F"/>
    <w:rsid w:val="00E2751D"/>
    <w:rsid w:val="00E32DF5"/>
    <w:rsid w:val="00E34A0B"/>
    <w:rsid w:val="00E36C90"/>
    <w:rsid w:val="00E37D9A"/>
    <w:rsid w:val="00E41574"/>
    <w:rsid w:val="00E42D75"/>
    <w:rsid w:val="00E433E5"/>
    <w:rsid w:val="00E435F9"/>
    <w:rsid w:val="00E43B64"/>
    <w:rsid w:val="00E44001"/>
    <w:rsid w:val="00E447FD"/>
    <w:rsid w:val="00E45A57"/>
    <w:rsid w:val="00E45DA3"/>
    <w:rsid w:val="00E45F91"/>
    <w:rsid w:val="00E54704"/>
    <w:rsid w:val="00E554E8"/>
    <w:rsid w:val="00E55A66"/>
    <w:rsid w:val="00E55EBA"/>
    <w:rsid w:val="00E5799D"/>
    <w:rsid w:val="00E60F13"/>
    <w:rsid w:val="00E660FE"/>
    <w:rsid w:val="00E67FA3"/>
    <w:rsid w:val="00E8053D"/>
    <w:rsid w:val="00E80558"/>
    <w:rsid w:val="00E81093"/>
    <w:rsid w:val="00E81188"/>
    <w:rsid w:val="00E921AA"/>
    <w:rsid w:val="00EA193C"/>
    <w:rsid w:val="00EA30A6"/>
    <w:rsid w:val="00EA6278"/>
    <w:rsid w:val="00EA6F2F"/>
    <w:rsid w:val="00EA7CDB"/>
    <w:rsid w:val="00EB0044"/>
    <w:rsid w:val="00EB0DBC"/>
    <w:rsid w:val="00EB1E52"/>
    <w:rsid w:val="00EB3817"/>
    <w:rsid w:val="00EB3F75"/>
    <w:rsid w:val="00EB4086"/>
    <w:rsid w:val="00EB7F26"/>
    <w:rsid w:val="00EC0190"/>
    <w:rsid w:val="00EC1F60"/>
    <w:rsid w:val="00EC648F"/>
    <w:rsid w:val="00EC6600"/>
    <w:rsid w:val="00EC69D6"/>
    <w:rsid w:val="00EC7618"/>
    <w:rsid w:val="00EC7B95"/>
    <w:rsid w:val="00ED1E8E"/>
    <w:rsid w:val="00ED3A91"/>
    <w:rsid w:val="00ED74A8"/>
    <w:rsid w:val="00EE011F"/>
    <w:rsid w:val="00EE4BF4"/>
    <w:rsid w:val="00EE7A1E"/>
    <w:rsid w:val="00EF2686"/>
    <w:rsid w:val="00EF5916"/>
    <w:rsid w:val="00EF5ABB"/>
    <w:rsid w:val="00EF5CAA"/>
    <w:rsid w:val="00F00075"/>
    <w:rsid w:val="00F0098B"/>
    <w:rsid w:val="00F02B09"/>
    <w:rsid w:val="00F05FD5"/>
    <w:rsid w:val="00F106AF"/>
    <w:rsid w:val="00F110E6"/>
    <w:rsid w:val="00F143C2"/>
    <w:rsid w:val="00F20855"/>
    <w:rsid w:val="00F238CC"/>
    <w:rsid w:val="00F23EC8"/>
    <w:rsid w:val="00F248C4"/>
    <w:rsid w:val="00F3045F"/>
    <w:rsid w:val="00F32CBD"/>
    <w:rsid w:val="00F33D21"/>
    <w:rsid w:val="00F359CC"/>
    <w:rsid w:val="00F35A76"/>
    <w:rsid w:val="00F42CB1"/>
    <w:rsid w:val="00F433D3"/>
    <w:rsid w:val="00F43BB6"/>
    <w:rsid w:val="00F50175"/>
    <w:rsid w:val="00F52DAB"/>
    <w:rsid w:val="00F56038"/>
    <w:rsid w:val="00F5676E"/>
    <w:rsid w:val="00F5739F"/>
    <w:rsid w:val="00F6190D"/>
    <w:rsid w:val="00F6252E"/>
    <w:rsid w:val="00F65F86"/>
    <w:rsid w:val="00F67638"/>
    <w:rsid w:val="00F709B2"/>
    <w:rsid w:val="00F7110C"/>
    <w:rsid w:val="00F72D51"/>
    <w:rsid w:val="00F72E12"/>
    <w:rsid w:val="00F74E91"/>
    <w:rsid w:val="00F7502B"/>
    <w:rsid w:val="00F767E1"/>
    <w:rsid w:val="00F772B1"/>
    <w:rsid w:val="00F82FD1"/>
    <w:rsid w:val="00F859E4"/>
    <w:rsid w:val="00F86A6F"/>
    <w:rsid w:val="00F90F08"/>
    <w:rsid w:val="00F94A99"/>
    <w:rsid w:val="00FA058A"/>
    <w:rsid w:val="00FA0CFA"/>
    <w:rsid w:val="00FB1581"/>
    <w:rsid w:val="00FB1AA1"/>
    <w:rsid w:val="00FB3EDE"/>
    <w:rsid w:val="00FB5DBF"/>
    <w:rsid w:val="00FC4737"/>
    <w:rsid w:val="00FC7574"/>
    <w:rsid w:val="00FD152E"/>
    <w:rsid w:val="00FD1F8D"/>
    <w:rsid w:val="00FD4005"/>
    <w:rsid w:val="00FE178B"/>
    <w:rsid w:val="00FE32E2"/>
    <w:rsid w:val="00FE5936"/>
    <w:rsid w:val="00FE6256"/>
    <w:rsid w:val="00FE648D"/>
    <w:rsid w:val="00FE68C3"/>
    <w:rsid w:val="00FF427C"/>
    <w:rsid w:val="00FF6B09"/>
    <w:rsid w:val="00FF7D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35DB0"/>
  <w15:chartTrackingRefBased/>
  <w15:docId w15:val="{B35114A2-5EEB-457B-B798-8C48DF4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5C"/>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008000"/>
      <w:szCs w:val="18"/>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customStyle="1" w:styleId="HorizontalRule">
    <w:name w:val="Horizontal Rule"/>
    <w:basedOn w:val="Heading5"/>
    <w:pPr>
      <w:keepNext w:val="0"/>
      <w:pBdr>
        <w:top w:val="single" w:sz="12" w:space="1" w:color="auto"/>
      </w:pBdr>
      <w:spacing w:before="180" w:after="180" w:line="336" w:lineRule="auto"/>
      <w:ind w:left="720"/>
      <w:jc w:val="both"/>
    </w:pPr>
    <w:rPr>
      <w:bCs/>
      <w:i w:val="0"/>
      <w:iCs w:val="0"/>
      <w:sz w:val="22"/>
      <w:szCs w:val="20"/>
      <w:lang w:val="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rPr>
      <w:sz w:val="22"/>
      <w:szCs w:val="20"/>
    </w:rPr>
  </w:style>
  <w:style w:type="paragraph" w:styleId="NormalWeb">
    <w:name w:val="Normal (Web)"/>
    <w:basedOn w:val="Normal"/>
    <w:semiHidden/>
    <w:pPr>
      <w:spacing w:before="100" w:beforeAutospacing="1" w:after="100" w:afterAutospacing="1"/>
    </w:pPr>
    <w:rPr>
      <w:color w:val="000000"/>
      <w:lang w:val="en-GB"/>
    </w:rPr>
  </w:style>
  <w:style w:type="paragraph" w:customStyle="1" w:styleId="Loendilik1">
    <w:name w:val="Loendi lõik1"/>
    <w:basedOn w:val="Normal"/>
    <w:qFormat/>
    <w:rsid w:val="00B91DA8"/>
    <w:pPr>
      <w:ind w:left="720"/>
      <w:contextualSpacing/>
    </w:pPr>
    <w:rPr>
      <w:lang w:eastAsia="et-EE"/>
    </w:rPr>
  </w:style>
  <w:style w:type="character" w:styleId="CommentReference">
    <w:name w:val="annotation reference"/>
    <w:uiPriority w:val="99"/>
    <w:semiHidden/>
    <w:unhideWhenUsed/>
    <w:rsid w:val="00292C9E"/>
    <w:rPr>
      <w:sz w:val="16"/>
      <w:szCs w:val="16"/>
    </w:rPr>
  </w:style>
  <w:style w:type="paragraph" w:styleId="CommentText">
    <w:name w:val="annotation text"/>
    <w:basedOn w:val="Normal"/>
    <w:link w:val="CommentTextChar"/>
    <w:uiPriority w:val="99"/>
    <w:semiHidden/>
    <w:unhideWhenUsed/>
    <w:rsid w:val="00292C9E"/>
    <w:rPr>
      <w:sz w:val="20"/>
      <w:szCs w:val="20"/>
      <w:lang w:val="x-none"/>
    </w:rPr>
  </w:style>
  <w:style w:type="character" w:customStyle="1" w:styleId="CommentTextChar">
    <w:name w:val="Comment Text Char"/>
    <w:link w:val="CommentText"/>
    <w:uiPriority w:val="99"/>
    <w:semiHidden/>
    <w:rsid w:val="00292C9E"/>
    <w:rPr>
      <w:lang w:eastAsia="en-US"/>
    </w:rPr>
  </w:style>
  <w:style w:type="paragraph" w:styleId="CommentSubject">
    <w:name w:val="annotation subject"/>
    <w:basedOn w:val="CommentText"/>
    <w:next w:val="CommentText"/>
    <w:link w:val="CommentSubjectChar"/>
    <w:uiPriority w:val="99"/>
    <w:semiHidden/>
    <w:unhideWhenUsed/>
    <w:rsid w:val="00292C9E"/>
    <w:rPr>
      <w:b/>
      <w:bCs/>
    </w:rPr>
  </w:style>
  <w:style w:type="character" w:customStyle="1" w:styleId="CommentSubjectChar">
    <w:name w:val="Comment Subject Char"/>
    <w:link w:val="CommentSubject"/>
    <w:uiPriority w:val="99"/>
    <w:semiHidden/>
    <w:rsid w:val="00292C9E"/>
    <w:rPr>
      <w:b/>
      <w:bCs/>
      <w:lang w:eastAsia="en-US"/>
    </w:rPr>
  </w:style>
  <w:style w:type="character" w:customStyle="1" w:styleId="FooterChar">
    <w:name w:val="Footer Char"/>
    <w:link w:val="Footer"/>
    <w:uiPriority w:val="99"/>
    <w:rsid w:val="00BF1271"/>
    <w:rPr>
      <w:sz w:val="24"/>
      <w:szCs w:val="24"/>
      <w:lang w:eastAsia="en-US"/>
    </w:rPr>
  </w:style>
  <w:style w:type="numbering" w:customStyle="1" w:styleId="Laad1">
    <w:name w:val="Laad1"/>
    <w:uiPriority w:val="99"/>
    <w:rsid w:val="00022A49"/>
    <w:pPr>
      <w:numPr>
        <w:numId w:val="2"/>
      </w:numPr>
    </w:pPr>
  </w:style>
  <w:style w:type="table" w:styleId="TableGrid">
    <w:name w:val="Table Grid"/>
    <w:basedOn w:val="TableNormal"/>
    <w:uiPriority w:val="59"/>
    <w:rsid w:val="00022A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83F"/>
  </w:style>
  <w:style w:type="paragraph" w:customStyle="1" w:styleId="Default">
    <w:name w:val="Default"/>
    <w:rsid w:val="006C5CD3"/>
    <w:pPr>
      <w:autoSpaceDE w:val="0"/>
      <w:autoSpaceDN w:val="0"/>
      <w:adjustRightInd w:val="0"/>
    </w:pPr>
    <w:rPr>
      <w:rFonts w:ascii="Cambria" w:hAnsi="Cambria" w:cs="Cambria"/>
      <w:color w:val="000000"/>
      <w:sz w:val="24"/>
      <w:szCs w:val="24"/>
      <w:lang w:val="en-US" w:eastAsia="en-US"/>
    </w:rPr>
  </w:style>
  <w:style w:type="paragraph" w:styleId="ListParagraph">
    <w:name w:val="List Paragraph"/>
    <w:basedOn w:val="Normal"/>
    <w:uiPriority w:val="34"/>
    <w:qFormat/>
    <w:rsid w:val="00364DBD"/>
    <w:pPr>
      <w:spacing w:after="160" w:line="256" w:lineRule="auto"/>
      <w:ind w:left="720"/>
      <w:contextualSpacing/>
    </w:pPr>
    <w:rPr>
      <w:rFonts w:ascii="Calibri" w:eastAsia="Calibri" w:hAnsi="Calibri"/>
      <w:sz w:val="22"/>
      <w:szCs w:val="22"/>
    </w:rPr>
  </w:style>
  <w:style w:type="character" w:customStyle="1" w:styleId="HeaderChar">
    <w:name w:val="Header Char"/>
    <w:link w:val="Header"/>
    <w:uiPriority w:val="99"/>
    <w:rsid w:val="00240C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80">
      <w:bodyDiv w:val="1"/>
      <w:marLeft w:val="0"/>
      <w:marRight w:val="0"/>
      <w:marTop w:val="0"/>
      <w:marBottom w:val="0"/>
      <w:divBdr>
        <w:top w:val="none" w:sz="0" w:space="0" w:color="auto"/>
        <w:left w:val="none" w:sz="0" w:space="0" w:color="auto"/>
        <w:bottom w:val="none" w:sz="0" w:space="0" w:color="auto"/>
        <w:right w:val="none" w:sz="0" w:space="0" w:color="auto"/>
      </w:divBdr>
    </w:div>
    <w:div w:id="217278071">
      <w:bodyDiv w:val="1"/>
      <w:marLeft w:val="0"/>
      <w:marRight w:val="0"/>
      <w:marTop w:val="0"/>
      <w:marBottom w:val="0"/>
      <w:divBdr>
        <w:top w:val="none" w:sz="0" w:space="0" w:color="auto"/>
        <w:left w:val="none" w:sz="0" w:space="0" w:color="auto"/>
        <w:bottom w:val="none" w:sz="0" w:space="0" w:color="auto"/>
        <w:right w:val="none" w:sz="0" w:space="0" w:color="auto"/>
      </w:divBdr>
    </w:div>
    <w:div w:id="235939657">
      <w:bodyDiv w:val="1"/>
      <w:marLeft w:val="0"/>
      <w:marRight w:val="0"/>
      <w:marTop w:val="0"/>
      <w:marBottom w:val="0"/>
      <w:divBdr>
        <w:top w:val="none" w:sz="0" w:space="0" w:color="auto"/>
        <w:left w:val="none" w:sz="0" w:space="0" w:color="auto"/>
        <w:bottom w:val="none" w:sz="0" w:space="0" w:color="auto"/>
        <w:right w:val="none" w:sz="0" w:space="0" w:color="auto"/>
      </w:divBdr>
    </w:div>
    <w:div w:id="321547834">
      <w:bodyDiv w:val="1"/>
      <w:marLeft w:val="0"/>
      <w:marRight w:val="0"/>
      <w:marTop w:val="0"/>
      <w:marBottom w:val="0"/>
      <w:divBdr>
        <w:top w:val="none" w:sz="0" w:space="0" w:color="auto"/>
        <w:left w:val="none" w:sz="0" w:space="0" w:color="auto"/>
        <w:bottom w:val="none" w:sz="0" w:space="0" w:color="auto"/>
        <w:right w:val="none" w:sz="0" w:space="0" w:color="auto"/>
      </w:divBdr>
    </w:div>
    <w:div w:id="340006886">
      <w:bodyDiv w:val="1"/>
      <w:marLeft w:val="0"/>
      <w:marRight w:val="0"/>
      <w:marTop w:val="0"/>
      <w:marBottom w:val="0"/>
      <w:divBdr>
        <w:top w:val="none" w:sz="0" w:space="0" w:color="auto"/>
        <w:left w:val="none" w:sz="0" w:space="0" w:color="auto"/>
        <w:bottom w:val="none" w:sz="0" w:space="0" w:color="auto"/>
        <w:right w:val="none" w:sz="0" w:space="0" w:color="auto"/>
      </w:divBdr>
    </w:div>
    <w:div w:id="364838951">
      <w:bodyDiv w:val="1"/>
      <w:marLeft w:val="0"/>
      <w:marRight w:val="0"/>
      <w:marTop w:val="0"/>
      <w:marBottom w:val="0"/>
      <w:divBdr>
        <w:top w:val="none" w:sz="0" w:space="0" w:color="auto"/>
        <w:left w:val="none" w:sz="0" w:space="0" w:color="auto"/>
        <w:bottom w:val="none" w:sz="0" w:space="0" w:color="auto"/>
        <w:right w:val="none" w:sz="0" w:space="0" w:color="auto"/>
      </w:divBdr>
    </w:div>
    <w:div w:id="371348667">
      <w:bodyDiv w:val="1"/>
      <w:marLeft w:val="0"/>
      <w:marRight w:val="0"/>
      <w:marTop w:val="0"/>
      <w:marBottom w:val="0"/>
      <w:divBdr>
        <w:top w:val="none" w:sz="0" w:space="0" w:color="auto"/>
        <w:left w:val="none" w:sz="0" w:space="0" w:color="auto"/>
        <w:bottom w:val="none" w:sz="0" w:space="0" w:color="auto"/>
        <w:right w:val="none" w:sz="0" w:space="0" w:color="auto"/>
      </w:divBdr>
    </w:div>
    <w:div w:id="479224831">
      <w:bodyDiv w:val="1"/>
      <w:marLeft w:val="0"/>
      <w:marRight w:val="0"/>
      <w:marTop w:val="0"/>
      <w:marBottom w:val="0"/>
      <w:divBdr>
        <w:top w:val="none" w:sz="0" w:space="0" w:color="auto"/>
        <w:left w:val="none" w:sz="0" w:space="0" w:color="auto"/>
        <w:bottom w:val="none" w:sz="0" w:space="0" w:color="auto"/>
        <w:right w:val="none" w:sz="0" w:space="0" w:color="auto"/>
      </w:divBdr>
    </w:div>
    <w:div w:id="532503606">
      <w:bodyDiv w:val="1"/>
      <w:marLeft w:val="0"/>
      <w:marRight w:val="0"/>
      <w:marTop w:val="0"/>
      <w:marBottom w:val="0"/>
      <w:divBdr>
        <w:top w:val="none" w:sz="0" w:space="0" w:color="auto"/>
        <w:left w:val="none" w:sz="0" w:space="0" w:color="auto"/>
        <w:bottom w:val="none" w:sz="0" w:space="0" w:color="auto"/>
        <w:right w:val="none" w:sz="0" w:space="0" w:color="auto"/>
      </w:divBdr>
    </w:div>
    <w:div w:id="576593088">
      <w:bodyDiv w:val="1"/>
      <w:marLeft w:val="0"/>
      <w:marRight w:val="0"/>
      <w:marTop w:val="0"/>
      <w:marBottom w:val="0"/>
      <w:divBdr>
        <w:top w:val="none" w:sz="0" w:space="0" w:color="auto"/>
        <w:left w:val="none" w:sz="0" w:space="0" w:color="auto"/>
        <w:bottom w:val="none" w:sz="0" w:space="0" w:color="auto"/>
        <w:right w:val="none" w:sz="0" w:space="0" w:color="auto"/>
      </w:divBdr>
    </w:div>
    <w:div w:id="635913375">
      <w:bodyDiv w:val="1"/>
      <w:marLeft w:val="0"/>
      <w:marRight w:val="0"/>
      <w:marTop w:val="0"/>
      <w:marBottom w:val="0"/>
      <w:divBdr>
        <w:top w:val="none" w:sz="0" w:space="0" w:color="auto"/>
        <w:left w:val="none" w:sz="0" w:space="0" w:color="auto"/>
        <w:bottom w:val="none" w:sz="0" w:space="0" w:color="auto"/>
        <w:right w:val="none" w:sz="0" w:space="0" w:color="auto"/>
      </w:divBdr>
    </w:div>
    <w:div w:id="686254966">
      <w:bodyDiv w:val="1"/>
      <w:marLeft w:val="0"/>
      <w:marRight w:val="0"/>
      <w:marTop w:val="0"/>
      <w:marBottom w:val="0"/>
      <w:divBdr>
        <w:top w:val="none" w:sz="0" w:space="0" w:color="auto"/>
        <w:left w:val="none" w:sz="0" w:space="0" w:color="auto"/>
        <w:bottom w:val="none" w:sz="0" w:space="0" w:color="auto"/>
        <w:right w:val="none" w:sz="0" w:space="0" w:color="auto"/>
      </w:divBdr>
    </w:div>
    <w:div w:id="706609875">
      <w:bodyDiv w:val="1"/>
      <w:marLeft w:val="0"/>
      <w:marRight w:val="0"/>
      <w:marTop w:val="0"/>
      <w:marBottom w:val="0"/>
      <w:divBdr>
        <w:top w:val="none" w:sz="0" w:space="0" w:color="auto"/>
        <w:left w:val="none" w:sz="0" w:space="0" w:color="auto"/>
        <w:bottom w:val="none" w:sz="0" w:space="0" w:color="auto"/>
        <w:right w:val="none" w:sz="0" w:space="0" w:color="auto"/>
      </w:divBdr>
    </w:div>
    <w:div w:id="768964989">
      <w:bodyDiv w:val="1"/>
      <w:marLeft w:val="0"/>
      <w:marRight w:val="0"/>
      <w:marTop w:val="0"/>
      <w:marBottom w:val="0"/>
      <w:divBdr>
        <w:top w:val="none" w:sz="0" w:space="0" w:color="auto"/>
        <w:left w:val="none" w:sz="0" w:space="0" w:color="auto"/>
        <w:bottom w:val="none" w:sz="0" w:space="0" w:color="auto"/>
        <w:right w:val="none" w:sz="0" w:space="0" w:color="auto"/>
      </w:divBdr>
    </w:div>
    <w:div w:id="852651364">
      <w:bodyDiv w:val="1"/>
      <w:marLeft w:val="0"/>
      <w:marRight w:val="0"/>
      <w:marTop w:val="0"/>
      <w:marBottom w:val="0"/>
      <w:divBdr>
        <w:top w:val="none" w:sz="0" w:space="0" w:color="auto"/>
        <w:left w:val="none" w:sz="0" w:space="0" w:color="auto"/>
        <w:bottom w:val="none" w:sz="0" w:space="0" w:color="auto"/>
        <w:right w:val="none" w:sz="0" w:space="0" w:color="auto"/>
      </w:divBdr>
    </w:div>
    <w:div w:id="890112188">
      <w:bodyDiv w:val="1"/>
      <w:marLeft w:val="0"/>
      <w:marRight w:val="0"/>
      <w:marTop w:val="0"/>
      <w:marBottom w:val="0"/>
      <w:divBdr>
        <w:top w:val="none" w:sz="0" w:space="0" w:color="auto"/>
        <w:left w:val="none" w:sz="0" w:space="0" w:color="auto"/>
        <w:bottom w:val="none" w:sz="0" w:space="0" w:color="auto"/>
        <w:right w:val="none" w:sz="0" w:space="0" w:color="auto"/>
      </w:divBdr>
    </w:div>
    <w:div w:id="1017540487">
      <w:bodyDiv w:val="1"/>
      <w:marLeft w:val="0"/>
      <w:marRight w:val="0"/>
      <w:marTop w:val="0"/>
      <w:marBottom w:val="0"/>
      <w:divBdr>
        <w:top w:val="none" w:sz="0" w:space="0" w:color="auto"/>
        <w:left w:val="none" w:sz="0" w:space="0" w:color="auto"/>
        <w:bottom w:val="none" w:sz="0" w:space="0" w:color="auto"/>
        <w:right w:val="none" w:sz="0" w:space="0" w:color="auto"/>
      </w:divBdr>
    </w:div>
    <w:div w:id="1061096323">
      <w:bodyDiv w:val="1"/>
      <w:marLeft w:val="0"/>
      <w:marRight w:val="0"/>
      <w:marTop w:val="0"/>
      <w:marBottom w:val="0"/>
      <w:divBdr>
        <w:top w:val="none" w:sz="0" w:space="0" w:color="auto"/>
        <w:left w:val="none" w:sz="0" w:space="0" w:color="auto"/>
        <w:bottom w:val="none" w:sz="0" w:space="0" w:color="auto"/>
        <w:right w:val="none" w:sz="0" w:space="0" w:color="auto"/>
      </w:divBdr>
    </w:div>
    <w:div w:id="1177385995">
      <w:bodyDiv w:val="1"/>
      <w:marLeft w:val="0"/>
      <w:marRight w:val="0"/>
      <w:marTop w:val="0"/>
      <w:marBottom w:val="0"/>
      <w:divBdr>
        <w:top w:val="none" w:sz="0" w:space="0" w:color="auto"/>
        <w:left w:val="none" w:sz="0" w:space="0" w:color="auto"/>
        <w:bottom w:val="none" w:sz="0" w:space="0" w:color="auto"/>
        <w:right w:val="none" w:sz="0" w:space="0" w:color="auto"/>
      </w:divBdr>
    </w:div>
    <w:div w:id="1215387839">
      <w:bodyDiv w:val="1"/>
      <w:marLeft w:val="0"/>
      <w:marRight w:val="0"/>
      <w:marTop w:val="0"/>
      <w:marBottom w:val="0"/>
      <w:divBdr>
        <w:top w:val="none" w:sz="0" w:space="0" w:color="auto"/>
        <w:left w:val="none" w:sz="0" w:space="0" w:color="auto"/>
        <w:bottom w:val="none" w:sz="0" w:space="0" w:color="auto"/>
        <w:right w:val="none" w:sz="0" w:space="0" w:color="auto"/>
      </w:divBdr>
    </w:div>
    <w:div w:id="1256398555">
      <w:bodyDiv w:val="1"/>
      <w:marLeft w:val="0"/>
      <w:marRight w:val="0"/>
      <w:marTop w:val="0"/>
      <w:marBottom w:val="0"/>
      <w:divBdr>
        <w:top w:val="none" w:sz="0" w:space="0" w:color="auto"/>
        <w:left w:val="none" w:sz="0" w:space="0" w:color="auto"/>
        <w:bottom w:val="none" w:sz="0" w:space="0" w:color="auto"/>
        <w:right w:val="none" w:sz="0" w:space="0" w:color="auto"/>
      </w:divBdr>
    </w:div>
    <w:div w:id="1325621390">
      <w:bodyDiv w:val="1"/>
      <w:marLeft w:val="0"/>
      <w:marRight w:val="0"/>
      <w:marTop w:val="0"/>
      <w:marBottom w:val="0"/>
      <w:divBdr>
        <w:top w:val="none" w:sz="0" w:space="0" w:color="auto"/>
        <w:left w:val="none" w:sz="0" w:space="0" w:color="auto"/>
        <w:bottom w:val="none" w:sz="0" w:space="0" w:color="auto"/>
        <w:right w:val="none" w:sz="0" w:space="0" w:color="auto"/>
      </w:divBdr>
    </w:div>
    <w:div w:id="1448894040">
      <w:bodyDiv w:val="1"/>
      <w:marLeft w:val="0"/>
      <w:marRight w:val="0"/>
      <w:marTop w:val="0"/>
      <w:marBottom w:val="0"/>
      <w:divBdr>
        <w:top w:val="none" w:sz="0" w:space="0" w:color="auto"/>
        <w:left w:val="none" w:sz="0" w:space="0" w:color="auto"/>
        <w:bottom w:val="none" w:sz="0" w:space="0" w:color="auto"/>
        <w:right w:val="none" w:sz="0" w:space="0" w:color="auto"/>
      </w:divBdr>
    </w:div>
    <w:div w:id="1458789777">
      <w:bodyDiv w:val="1"/>
      <w:marLeft w:val="0"/>
      <w:marRight w:val="0"/>
      <w:marTop w:val="0"/>
      <w:marBottom w:val="0"/>
      <w:divBdr>
        <w:top w:val="none" w:sz="0" w:space="0" w:color="auto"/>
        <w:left w:val="none" w:sz="0" w:space="0" w:color="auto"/>
        <w:bottom w:val="none" w:sz="0" w:space="0" w:color="auto"/>
        <w:right w:val="none" w:sz="0" w:space="0" w:color="auto"/>
      </w:divBdr>
    </w:div>
    <w:div w:id="1530753402">
      <w:bodyDiv w:val="1"/>
      <w:marLeft w:val="0"/>
      <w:marRight w:val="0"/>
      <w:marTop w:val="0"/>
      <w:marBottom w:val="0"/>
      <w:divBdr>
        <w:top w:val="none" w:sz="0" w:space="0" w:color="auto"/>
        <w:left w:val="none" w:sz="0" w:space="0" w:color="auto"/>
        <w:bottom w:val="none" w:sz="0" w:space="0" w:color="auto"/>
        <w:right w:val="none" w:sz="0" w:space="0" w:color="auto"/>
      </w:divBdr>
    </w:div>
    <w:div w:id="1576282794">
      <w:bodyDiv w:val="1"/>
      <w:marLeft w:val="0"/>
      <w:marRight w:val="0"/>
      <w:marTop w:val="0"/>
      <w:marBottom w:val="0"/>
      <w:divBdr>
        <w:top w:val="none" w:sz="0" w:space="0" w:color="auto"/>
        <w:left w:val="none" w:sz="0" w:space="0" w:color="auto"/>
        <w:bottom w:val="none" w:sz="0" w:space="0" w:color="auto"/>
        <w:right w:val="none" w:sz="0" w:space="0" w:color="auto"/>
      </w:divBdr>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
    <w:div w:id="1747263580">
      <w:bodyDiv w:val="1"/>
      <w:marLeft w:val="0"/>
      <w:marRight w:val="0"/>
      <w:marTop w:val="0"/>
      <w:marBottom w:val="0"/>
      <w:divBdr>
        <w:top w:val="none" w:sz="0" w:space="0" w:color="auto"/>
        <w:left w:val="none" w:sz="0" w:space="0" w:color="auto"/>
        <w:bottom w:val="none" w:sz="0" w:space="0" w:color="auto"/>
        <w:right w:val="none" w:sz="0" w:space="0" w:color="auto"/>
      </w:divBdr>
    </w:div>
    <w:div w:id="1751082145">
      <w:bodyDiv w:val="1"/>
      <w:marLeft w:val="0"/>
      <w:marRight w:val="0"/>
      <w:marTop w:val="0"/>
      <w:marBottom w:val="0"/>
      <w:divBdr>
        <w:top w:val="none" w:sz="0" w:space="0" w:color="auto"/>
        <w:left w:val="none" w:sz="0" w:space="0" w:color="auto"/>
        <w:bottom w:val="none" w:sz="0" w:space="0" w:color="auto"/>
        <w:right w:val="none" w:sz="0" w:space="0" w:color="auto"/>
      </w:divBdr>
    </w:div>
    <w:div w:id="1763145032">
      <w:bodyDiv w:val="1"/>
      <w:marLeft w:val="0"/>
      <w:marRight w:val="0"/>
      <w:marTop w:val="0"/>
      <w:marBottom w:val="0"/>
      <w:divBdr>
        <w:top w:val="none" w:sz="0" w:space="0" w:color="auto"/>
        <w:left w:val="none" w:sz="0" w:space="0" w:color="auto"/>
        <w:bottom w:val="none" w:sz="0" w:space="0" w:color="auto"/>
        <w:right w:val="none" w:sz="0" w:space="0" w:color="auto"/>
      </w:divBdr>
    </w:div>
    <w:div w:id="1766458328">
      <w:bodyDiv w:val="1"/>
      <w:marLeft w:val="0"/>
      <w:marRight w:val="0"/>
      <w:marTop w:val="0"/>
      <w:marBottom w:val="0"/>
      <w:divBdr>
        <w:top w:val="none" w:sz="0" w:space="0" w:color="auto"/>
        <w:left w:val="none" w:sz="0" w:space="0" w:color="auto"/>
        <w:bottom w:val="none" w:sz="0" w:space="0" w:color="auto"/>
        <w:right w:val="none" w:sz="0" w:space="0" w:color="auto"/>
      </w:divBdr>
    </w:div>
    <w:div w:id="1807432964">
      <w:bodyDiv w:val="1"/>
      <w:marLeft w:val="0"/>
      <w:marRight w:val="0"/>
      <w:marTop w:val="0"/>
      <w:marBottom w:val="0"/>
      <w:divBdr>
        <w:top w:val="none" w:sz="0" w:space="0" w:color="auto"/>
        <w:left w:val="none" w:sz="0" w:space="0" w:color="auto"/>
        <w:bottom w:val="none" w:sz="0" w:space="0" w:color="auto"/>
        <w:right w:val="none" w:sz="0" w:space="0" w:color="auto"/>
      </w:divBdr>
    </w:div>
    <w:div w:id="1831173824">
      <w:bodyDiv w:val="1"/>
      <w:marLeft w:val="0"/>
      <w:marRight w:val="0"/>
      <w:marTop w:val="0"/>
      <w:marBottom w:val="0"/>
      <w:divBdr>
        <w:top w:val="none" w:sz="0" w:space="0" w:color="auto"/>
        <w:left w:val="none" w:sz="0" w:space="0" w:color="auto"/>
        <w:bottom w:val="none" w:sz="0" w:space="0" w:color="auto"/>
        <w:right w:val="none" w:sz="0" w:space="0" w:color="auto"/>
      </w:divBdr>
    </w:div>
    <w:div w:id="1864126013">
      <w:bodyDiv w:val="1"/>
      <w:marLeft w:val="0"/>
      <w:marRight w:val="0"/>
      <w:marTop w:val="0"/>
      <w:marBottom w:val="0"/>
      <w:divBdr>
        <w:top w:val="none" w:sz="0" w:space="0" w:color="auto"/>
        <w:left w:val="none" w:sz="0" w:space="0" w:color="auto"/>
        <w:bottom w:val="none" w:sz="0" w:space="0" w:color="auto"/>
        <w:right w:val="none" w:sz="0" w:space="0" w:color="auto"/>
      </w:divBdr>
    </w:div>
    <w:div w:id="1864781268">
      <w:bodyDiv w:val="1"/>
      <w:marLeft w:val="0"/>
      <w:marRight w:val="0"/>
      <w:marTop w:val="0"/>
      <w:marBottom w:val="0"/>
      <w:divBdr>
        <w:top w:val="none" w:sz="0" w:space="0" w:color="auto"/>
        <w:left w:val="none" w:sz="0" w:space="0" w:color="auto"/>
        <w:bottom w:val="none" w:sz="0" w:space="0" w:color="auto"/>
        <w:right w:val="none" w:sz="0" w:space="0" w:color="auto"/>
      </w:divBdr>
    </w:div>
    <w:div w:id="1867136747">
      <w:bodyDiv w:val="1"/>
      <w:marLeft w:val="0"/>
      <w:marRight w:val="0"/>
      <w:marTop w:val="0"/>
      <w:marBottom w:val="0"/>
      <w:divBdr>
        <w:top w:val="none" w:sz="0" w:space="0" w:color="auto"/>
        <w:left w:val="none" w:sz="0" w:space="0" w:color="auto"/>
        <w:bottom w:val="none" w:sz="0" w:space="0" w:color="auto"/>
        <w:right w:val="none" w:sz="0" w:space="0" w:color="auto"/>
      </w:divBdr>
    </w:div>
    <w:div w:id="1906530124">
      <w:bodyDiv w:val="1"/>
      <w:marLeft w:val="0"/>
      <w:marRight w:val="0"/>
      <w:marTop w:val="0"/>
      <w:marBottom w:val="0"/>
      <w:divBdr>
        <w:top w:val="none" w:sz="0" w:space="0" w:color="auto"/>
        <w:left w:val="none" w:sz="0" w:space="0" w:color="auto"/>
        <w:bottom w:val="none" w:sz="0" w:space="0" w:color="auto"/>
        <w:right w:val="none" w:sz="0" w:space="0" w:color="auto"/>
      </w:divBdr>
    </w:div>
    <w:div w:id="2097483637">
      <w:bodyDiv w:val="1"/>
      <w:marLeft w:val="0"/>
      <w:marRight w:val="0"/>
      <w:marTop w:val="0"/>
      <w:marBottom w:val="0"/>
      <w:divBdr>
        <w:top w:val="none" w:sz="0" w:space="0" w:color="auto"/>
        <w:left w:val="none" w:sz="0" w:space="0" w:color="auto"/>
        <w:bottom w:val="none" w:sz="0" w:space="0" w:color="auto"/>
        <w:right w:val="none" w:sz="0" w:space="0" w:color="auto"/>
      </w:divBdr>
    </w:div>
    <w:div w:id="21403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rd xmlns="d3ac3390-748e-45e0-83a8-9889d643d9fe">Innohanked</Kord>
    <Ver xmlns="d3ac3390-748e-45e0-83a8-9889d643d9fe">1</Ver>
    <Vastutav_x0020__x00fc_ksus xmlns="3ab46b5f-846b-4c09-98a5-4dd18a938181">Ettevõtluse ja ekspordikeskus</Vastutav_x0020__x00fc_ksus>
    <Periood xmlns="3ab46b5f-846b-4c09-98a5-4dd18a938181">2014-2020</Periood>
    <Toote_x0020_omanik xmlns="3ab46b5f-846b-4c09-98a5-4dd18a938181">Aldo Välba</Toote_x0020_omanik>
    <Valdkonna_x0020_juht xmlns="3ab46b5f-846b-4c09-98a5-4dd18a938181">Madis Võõras</Valdkonna_x0020_juht>
    <Staatus xmlns="ed4fb31e-c5cd-4b30-b56a-ee875abe90cd">Töös</Staatu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3da2fe6a55c49ab36b1b55ad6adb134c">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3057aa242f1a6c2dfd42861aba5255cf"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Ettevõtluse ja ekspordikeskus" ma:format="RadioButtons" ma:internalName="Vastutav_x0020__x00fc_ksus">
      <xsd:simpleType>
        <xsd:restriction base="dms:Choice">
          <xsd:enumeration value="Arendusüksus"/>
          <xsd:enumeration value="EAS"/>
          <xsd:enumeration value="Ettevõtluse ja ekspordikeskus"/>
          <xsd:enumeration value="Info- ja tugikeskus"/>
          <xsd:enumeration value="Järelevalve ja riskijuhtimise üksus"/>
          <xsd:enumeration value="Regionaalarengukeskus"/>
          <xsd:enumeration value="Siseauditi üksus"/>
          <xsd:enumeration value="Turismiarenduskeskus"/>
          <xsd:enumeration value="Välisinvesteeringute keskus"/>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21CD-A408-46EA-8EB2-6204DE92A1D4}">
  <ds:schemaRefs>
    <ds:schemaRef ds:uri="http://schemas.microsoft.com/office/2006/metadata/longProperties"/>
  </ds:schemaRefs>
</ds:datastoreItem>
</file>

<file path=customXml/itemProps2.xml><?xml version="1.0" encoding="utf-8"?>
<ds:datastoreItem xmlns:ds="http://schemas.openxmlformats.org/officeDocument/2006/customXml" ds:itemID="{BB2DAAC1-30A7-4D9C-B814-AB087FF99220}">
  <ds:schemaRefs>
    <ds:schemaRef ds:uri="http://schemas.microsoft.com/sharepoint/v3/contenttype/forms"/>
  </ds:schemaRefs>
</ds:datastoreItem>
</file>

<file path=customXml/itemProps3.xml><?xml version="1.0" encoding="utf-8"?>
<ds:datastoreItem xmlns:ds="http://schemas.openxmlformats.org/officeDocument/2006/customXml" ds:itemID="{D5E2ABC5-10C2-46B4-B5AB-F77B59EB0C90}">
  <ds:schemaRefs>
    <ds:schemaRef ds:uri="http://schemas.microsoft.com/office/2006/metadata/properties"/>
    <ds:schemaRef ds:uri="http://schemas.microsoft.com/office/infopath/2007/PartnerControls"/>
    <ds:schemaRef ds:uri="d3ac3390-748e-45e0-83a8-9889d643d9fe"/>
    <ds:schemaRef ds:uri="3ab46b5f-846b-4c09-98a5-4dd18a938181"/>
    <ds:schemaRef ds:uri="ed4fb31e-c5cd-4b30-b56a-ee875abe90cd"/>
  </ds:schemaRefs>
</ds:datastoreItem>
</file>

<file path=customXml/itemProps4.xml><?xml version="1.0" encoding="utf-8"?>
<ds:datastoreItem xmlns:ds="http://schemas.openxmlformats.org/officeDocument/2006/customXml" ds:itemID="{311DA9BB-600D-4D16-B7E9-88114FDF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CB2854-CE9B-4F2C-AD40-441C2214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13527</Characters>
  <Application>Microsoft Office Word</Application>
  <DocSecurity>0</DocSecurity>
  <Lines>112</Lines>
  <Paragraphs>31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Lisa 14. Põhiprojekti hindamismetoodika ver 2</vt:lpstr>
      <vt:lpstr>Lisa 14. Põhiprojekti hindamismetoodika ver 2</vt:lpstr>
      <vt:lpstr>Lisa 14. Põhiprojekti hindamismetoodika ver 2</vt:lpstr>
    </vt:vector>
  </TitlesOfParts>
  <Company>EAS</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14. Põhiprojekti hindamismetoodika ver 2</dc:title>
  <dc:subject/>
  <dc:creator>Customer</dc:creator>
  <cp:keywords/>
  <cp:lastModifiedBy>Aldo Välba</cp:lastModifiedBy>
  <cp:revision>2</cp:revision>
  <cp:lastPrinted>2012-12-17T08:12:00Z</cp:lastPrinted>
  <dcterms:created xsi:type="dcterms:W3CDTF">2016-07-14T08:27:00Z</dcterms:created>
  <dcterms:modified xsi:type="dcterms:W3CDTF">2016-07-14T08:27:00Z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ähis">
    <vt:lpwstr/>
  </property>
  <property fmtid="{D5CDD505-2E9C-101B-9397-08002B2CF9AE}" pid="3" name="Valdkond">
    <vt:lpwstr/>
  </property>
  <property fmtid="{D5CDD505-2E9C-101B-9397-08002B2CF9AE}" pid="4" name="ContentType">
    <vt:lpwstr>Dokument</vt:lpwstr>
  </property>
  <property fmtid="{D5CDD505-2E9C-101B-9397-08002B2CF9AE}" pid="5" name="Koostaja">
    <vt:lpwstr>Anari Lilleoja</vt:lpwstr>
  </property>
  <property fmtid="{D5CDD505-2E9C-101B-9397-08002B2CF9AE}" pid="6" name="Liik">
    <vt:lpwstr>Hindamismetoodika</vt:lpwstr>
  </property>
  <property fmtid="{D5CDD505-2E9C-101B-9397-08002B2CF9AE}" pid="7" name="ContentTypeId">
    <vt:lpwstr>0x0101008F352E401F8CA646B262237497F16844</vt:lpwstr>
  </property>
</Properties>
</file>